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CF1D" w14:textId="77777777" w:rsidR="003C714C" w:rsidRDefault="00DB3777" w:rsidP="003C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B3777">
        <w:rPr>
          <w:rFonts w:ascii="Times New Roman" w:eastAsia="Lato" w:hAnsi="Times New Roman" w:cs="Times New Roman"/>
          <w:color w:val="000000"/>
          <w:sz w:val="24"/>
          <w:szCs w:val="24"/>
        </w:rPr>
        <w:t>prof. dr hab.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Zaucha</w:t>
      </w:r>
    </w:p>
    <w:p w14:paraId="7C587196" w14:textId="77777777" w:rsidR="00FB1D9C" w:rsidRDefault="00FB1D9C" w:rsidP="003C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Gdański</w:t>
      </w:r>
    </w:p>
    <w:p w14:paraId="680A8778" w14:textId="77777777" w:rsidR="003C714C" w:rsidRDefault="003C714C" w:rsidP="003C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BE9B9" w14:textId="77777777" w:rsidR="00777CDA" w:rsidRDefault="00777CDA" w:rsidP="0077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C71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Wpływ ustawowej formalizacji funkcjonowania </w:t>
      </w:r>
      <w:r w:rsidRPr="003C714C">
        <w:rPr>
          <w:rFonts w:ascii="Times New Roman" w:eastAsia="Lato" w:hAnsi="Times New Roman" w:cs="Times New Roman"/>
          <w:b/>
          <w:sz w:val="32"/>
          <w:szCs w:val="32"/>
        </w:rPr>
        <w:t xml:space="preserve">OMGGS </w:t>
      </w:r>
      <w:r w:rsidRPr="003C71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na szeroko rozumiany rozwój </w:t>
      </w:r>
      <w:r w:rsidR="00AA0491" w:rsidRPr="003C71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Polski</w:t>
      </w:r>
      <w:r w:rsidRPr="003C71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14:paraId="394243F6" w14:textId="77777777" w:rsidR="002224E2" w:rsidRPr="003C714C" w:rsidRDefault="002224E2" w:rsidP="0077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(ekspertyza)</w:t>
      </w:r>
    </w:p>
    <w:p w14:paraId="3E36019E" w14:textId="77777777" w:rsidR="00777CDA" w:rsidRDefault="00777CDA" w:rsidP="0077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8EEA7" w14:textId="77777777" w:rsidR="008301B0" w:rsidRPr="00FB1D9C" w:rsidRDefault="00777CDA" w:rsidP="0088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Metropolie stanowią rdzenie krajowych i globalnych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procesów gospodarczych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Wynika to </w:t>
      </w:r>
      <w:r w:rsidR="00952D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faktu kreowania przez nie korzyści aglomeracji. W pewnym uproszczeniu oznacza to, że kapitał produkcyjny zainwestowany w obszarze metropolii przynosi większe korzyści niżeli poza nią. 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 w metropolii są bardziej produktywne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nacechowane wyższym poziomem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innowacyjności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to 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skutkuje naturalnym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koncertowanie</w:t>
      </w:r>
      <w:r w:rsidR="00D815F3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produkcji (i tworzenia dobrobytu) w tych obszarach. 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>aj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ą to  badania Banku Światowego (2009) jak i rodzime szacunki (Brodzicki C</w:t>
      </w:r>
      <w:r w:rsidR="00D86852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ołek</w:t>
      </w:r>
      <w:r w:rsidR="00B22BFA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− zob. Aneks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. Polska zawdzięcz</w:t>
      </w:r>
      <w:r w:rsidR="00F4366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swój rozwój 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gospodarczy 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ostatnich dekadach m.in. postępującym procesom 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etropolizacji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(wykształcania się fun</w:t>
      </w:r>
      <w:r w:rsidR="00BA143B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cji metropolitalnych) (Mroczek 2022).</w:t>
      </w:r>
    </w:p>
    <w:p w14:paraId="5B1857DB" w14:textId="77777777" w:rsidR="00FC08B1" w:rsidRPr="00FB1D9C" w:rsidRDefault="00FB6DD0" w:rsidP="008844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wskazuje Smę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kowski,</w:t>
      </w:r>
      <w:r w:rsidR="00945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alowiecki i Go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elak (2008,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5)  „</w:t>
      </w:r>
      <w:r w:rsidRPr="00FB1D9C">
        <w:rPr>
          <w:rFonts w:ascii="Times New Roman" w:hAnsi="Times New Roman" w:cs="Times New Roman"/>
          <w:sz w:val="24"/>
          <w:szCs w:val="24"/>
        </w:rPr>
        <w:t>metropolia /…/ jest gigantycznym rynkiem, towarem i informacją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badań ESPON (</w:t>
      </w:r>
      <w:r w:rsidR="00BA143B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2005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) funkcje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charakterystyki</w:t>
      </w:r>
      <w:r w:rsidR="00945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konstytuujące metropolie </w:t>
      </w:r>
      <w:r w:rsidR="00FC08B1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EF4892" w14:textId="77777777" w:rsidR="00FB6DD0" w:rsidRPr="00FB1D9C" w:rsidRDefault="00FB6DD0" w:rsidP="008844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rynqv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Style w:val="rynqvb"/>
          <w:rFonts w:ascii="Times New Roman" w:hAnsi="Times New Roman" w:cs="Times New Roman"/>
          <w:sz w:val="24"/>
          <w:szCs w:val="24"/>
        </w:rPr>
        <w:t>Masę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: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mierzoną wielkością po</w:t>
      </w:r>
      <w:r w:rsidR="00C338D4">
        <w:rPr>
          <w:rStyle w:val="rynqvb"/>
          <w:rFonts w:ascii="Times New Roman" w:hAnsi="Times New Roman" w:cs="Times New Roman"/>
          <w:sz w:val="24"/>
          <w:szCs w:val="24"/>
        </w:rPr>
        <w:t>pulacji i rozmiarem gospodarki.</w:t>
      </w:r>
    </w:p>
    <w:p w14:paraId="29BFE4FA" w14:textId="600AAEDC" w:rsidR="00FB6DD0" w:rsidRPr="00FB1D9C" w:rsidRDefault="00FB6DD0" w:rsidP="008844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rynqv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Style w:val="rynqvb"/>
          <w:rFonts w:ascii="Times New Roman" w:hAnsi="Times New Roman" w:cs="Times New Roman"/>
          <w:sz w:val="24"/>
          <w:szCs w:val="24"/>
        </w:rPr>
        <w:t>Konkurencyjność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: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mierzon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ą</w:t>
      </w:r>
      <w:r w:rsidR="0038316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produktywnością</w:t>
      </w:r>
      <w:r w:rsidR="00BA77F6"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i przyciąganiem 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siedzib głównych największych firm.  </w:t>
      </w:r>
    </w:p>
    <w:p w14:paraId="41C01FCA" w14:textId="77777777" w:rsidR="00FB6DD0" w:rsidRPr="00FB1D9C" w:rsidRDefault="00FB6DD0" w:rsidP="008844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rynqv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Style w:val="rynqvb"/>
          <w:rFonts w:ascii="Times New Roman" w:hAnsi="Times New Roman" w:cs="Times New Roman"/>
          <w:sz w:val="24"/>
          <w:szCs w:val="24"/>
        </w:rPr>
        <w:t>Powiązania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: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mierzone liczbą pasażerów, ładunków i dostępnością  multimodaln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ą.</w:t>
      </w:r>
    </w:p>
    <w:p w14:paraId="0290617A" w14:textId="77777777" w:rsidR="00FB6DD0" w:rsidRPr="00FB1D9C" w:rsidRDefault="003C714C" w:rsidP="008844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Style w:val="rynqvb"/>
          <w:rFonts w:ascii="Times New Roman" w:hAnsi="Times New Roman" w:cs="Times New Roman"/>
          <w:sz w:val="24"/>
          <w:szCs w:val="24"/>
        </w:rPr>
        <w:t>Kreowanie</w:t>
      </w:r>
      <w:r w:rsidR="00FB6DD0"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 wiedzy</w:t>
      </w:r>
      <w:r w:rsidR="002206EC" w:rsidRPr="00FB1D9C">
        <w:rPr>
          <w:rStyle w:val="rynqvb"/>
          <w:rFonts w:ascii="Times New Roman" w:hAnsi="Times New Roman" w:cs="Times New Roman"/>
          <w:sz w:val="24"/>
          <w:szCs w:val="24"/>
        </w:rPr>
        <w:t>:</w:t>
      </w:r>
      <w:r w:rsidR="00FB6DD0"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mierzon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>e</w:t>
      </w:r>
      <w:r w:rsidR="00FB6DD0"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liczb</w:t>
      </w:r>
      <w:r w:rsidRPr="00FB1D9C">
        <w:rPr>
          <w:rStyle w:val="rynqvb"/>
          <w:rFonts w:ascii="Times New Roman" w:hAnsi="Times New Roman" w:cs="Times New Roman"/>
          <w:sz w:val="24"/>
          <w:szCs w:val="24"/>
        </w:rPr>
        <w:t>ą</w:t>
      </w:r>
      <w:r w:rsidR="00FB6DD0" w:rsidRPr="00FB1D9C">
        <w:rPr>
          <w:rStyle w:val="rynqvb"/>
          <w:rFonts w:ascii="Times New Roman" w:hAnsi="Times New Roman" w:cs="Times New Roman"/>
          <w:sz w:val="24"/>
          <w:szCs w:val="24"/>
        </w:rPr>
        <w:t xml:space="preserve"> osób wykształconych oraz udziałem w B+R. </w:t>
      </w:r>
    </w:p>
    <w:p w14:paraId="77F837AB" w14:textId="77777777" w:rsidR="008301B0" w:rsidRPr="00FB1D9C" w:rsidRDefault="008301B0" w:rsidP="0088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C9DBA" w14:textId="14E30F08" w:rsidR="00FB6DD0" w:rsidRPr="00FB1D9C" w:rsidRDefault="00FB6DD0" w:rsidP="0088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Metropolie (szczególnie te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źle</w:t>
      </w:r>
      <w:r w:rsidR="0038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6E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zarządzane lub rozwijające się bez spójne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myśli </w:t>
      </w:r>
      <w:r w:rsidR="002206E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strategiczne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mogą także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doświadczać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swoist</w:t>
      </w:r>
      <w:r w:rsidR="002206E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niekorzyści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aglomeracji</w:t>
      </w:r>
      <w:r w:rsidR="002206E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5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w polskich warunkach 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pojawia się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niekontrolowan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suburbanizacj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44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skutkując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44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ongestią transportową.</w:t>
      </w:r>
    </w:p>
    <w:p w14:paraId="2FBBA3B1" w14:textId="77777777" w:rsidR="00FB6DD0" w:rsidRPr="00FB1D9C" w:rsidRDefault="00FB6DD0" w:rsidP="0088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37CD7" w14:textId="66501E13" w:rsidR="00777CDA" w:rsidRPr="00777CDA" w:rsidRDefault="00D815F3" w:rsidP="0088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Analizując przywołane powyżej materiały </w:t>
      </w:r>
      <w:r w:rsidR="008E1ED8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badania 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zauważyć, </w:t>
      </w:r>
      <w:r w:rsidR="002206E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8301B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trójmiejska</w:t>
      </w:r>
      <w:r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metropolia (OMGGS) jest faktem ekonomicznym</w:t>
      </w:r>
      <w:r w:rsidR="00FB6DD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przynajmniej w wymiarze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masy, </w:t>
      </w:r>
      <w:r w:rsidR="00FB6DD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powiązań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B6DD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konkurencyjności.OMGGS brakuje jednak spójnego </w:t>
      </w:r>
      <w:r w:rsidR="00FB1D9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 w:rsidR="00FB6DD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wskazanymi przez ESPON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B1D9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005)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elementami konstytutywnymi metropolii. </w:t>
      </w:r>
      <w:r w:rsidR="003C714C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szczególnie istotne zważywszy na policentryczny charakter metropolii i brak jednego lidera organizującego powiązania (przepływy) z pozostałymi podmiotami. </w:t>
      </w:r>
      <w:r w:rsidR="00884480" w:rsidRP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też w niniejszej ekspertyzie </w:t>
      </w:r>
      <w:r w:rsidR="00AA04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przyjęto założenie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ustawowa formalizacja funkcjonowania </w:t>
      </w:r>
      <w:r w:rsidR="00DB3777" w:rsidRPr="00DB3777">
        <w:rPr>
          <w:rFonts w:ascii="Times New Roman" w:eastAsia="Lato" w:hAnsi="Times New Roman" w:cs="Times New Roman"/>
          <w:sz w:val="24"/>
          <w:szCs w:val="24"/>
        </w:rPr>
        <w:t>OMGGS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prowadząca do przekształcenia się żywiołowego procesu w ten bardziej kontrolowany,</w:t>
      </w:r>
      <w:r w:rsidR="0038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>świ</w:t>
      </w:r>
      <w:r w:rsid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>adomy i monitorowany, pogłębi w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pożądanym kierunku proces metropolizacji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</w:t>
      </w:r>
      <w:r w:rsidR="00034B2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>rzyspi</w:t>
      </w:r>
      <w:r w:rsidR="00034B2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 </w:t>
      </w:r>
      <w:r w:rsidR="00034B20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gospodarczy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B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zarazem umożliwi 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>mitygacj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wspomnianych niekorzyści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="00AA0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odatkowo pozwoli na </w:t>
      </w:r>
      <w:r w:rsidR="0025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pogłębienie </w:t>
      </w:r>
      <w:r w:rsidR="00AA049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w zakresie funkcjonowania metropolitalnego szczebla samorządu terytorialnego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</w:t>
      </w:r>
      <w:r w:rsidR="00AA0491">
        <w:rPr>
          <w:rFonts w:ascii="Times New Roman" w:eastAsia="Times New Roman" w:hAnsi="Times New Roman" w:cs="Times New Roman"/>
          <w:sz w:val="24"/>
          <w:szCs w:val="24"/>
          <w:lang w:eastAsia="pl-PL"/>
        </w:rPr>
        <w:t>. T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>o wszystko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 szereg </w:t>
      </w:r>
      <w:r w:rsidR="00820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benefitów 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rozwojowych </w:t>
      </w:r>
      <w:r w:rsidR="00AA0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Polski jako kraju 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>w r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żnych skalach </w:t>
      </w:r>
      <w:r w:rsidR="003C714C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różnym </w:t>
      </w:r>
      <w:r w:rsidR="00E8767A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 (politycznym, gospodarczym czy fiskalnym)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077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ostały </w:t>
      </w:r>
      <w:r w:rsidR="00820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i </w:t>
      </w:r>
      <w:r w:rsidR="002206EC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>pokrótce</w:t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scharakteryzowane w dalszej części ekspertyzy</w:t>
      </w:r>
      <w:r w:rsidR="00895E05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884480" w:rsidRPr="00884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B591F24" w14:textId="77777777" w:rsidR="00ED1C68" w:rsidRDefault="00ED1C68" w:rsidP="00884480">
      <w:pPr>
        <w:jc w:val="both"/>
      </w:pPr>
    </w:p>
    <w:p w14:paraId="550C9C84" w14:textId="77777777" w:rsidR="00182ED3" w:rsidRPr="00AB48B4" w:rsidRDefault="00182ED3" w:rsidP="00884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KORZYSCI </w:t>
      </w:r>
      <w:r w:rsidR="00EE10BE" w:rsidRPr="00AB48B4">
        <w:rPr>
          <w:rFonts w:ascii="Times New Roman" w:hAnsi="Times New Roman" w:cs="Times New Roman"/>
          <w:b/>
          <w:sz w:val="24"/>
          <w:szCs w:val="24"/>
        </w:rPr>
        <w:t xml:space="preserve">dla Polski </w:t>
      </w:r>
      <w:r w:rsidRPr="00AB48B4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AB4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ustawowej formalizacji funkcjonowania </w:t>
      </w:r>
      <w:r w:rsidRPr="00AB48B4">
        <w:rPr>
          <w:rFonts w:ascii="Times New Roman" w:eastAsia="Lato" w:hAnsi="Times New Roman" w:cs="Times New Roman"/>
          <w:b/>
          <w:sz w:val="24"/>
          <w:szCs w:val="24"/>
        </w:rPr>
        <w:t xml:space="preserve">OMGGS </w:t>
      </w:r>
      <w:r w:rsidRPr="00AB4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− poziom UE</w:t>
      </w:r>
    </w:p>
    <w:p w14:paraId="5FDD5848" w14:textId="77777777" w:rsidR="00FC08B1" w:rsidRPr="003C714C" w:rsidRDefault="008E1ED8" w:rsidP="008E1E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714C">
        <w:rPr>
          <w:rFonts w:ascii="Times New Roman" w:hAnsi="Times New Roman" w:cs="Times New Roman"/>
          <w:b/>
          <w:sz w:val="24"/>
          <w:szCs w:val="24"/>
        </w:rPr>
        <w:t xml:space="preserve">Zwiększenie wpływu Polski na kształtowanie polityk UE </w:t>
      </w:r>
    </w:p>
    <w:p w14:paraId="4990A450" w14:textId="77777777" w:rsidR="00364DDE" w:rsidRDefault="00977E5E" w:rsidP="00596C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6CB2">
        <w:rPr>
          <w:rFonts w:ascii="Times New Roman" w:hAnsi="Times New Roman" w:cs="Times New Roman"/>
          <w:sz w:val="24"/>
          <w:szCs w:val="24"/>
        </w:rPr>
        <w:t>Utworzenie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metropolii </w:t>
      </w:r>
      <w:r w:rsidR="000A0856">
        <w:rPr>
          <w:rFonts w:ascii="Times New Roman" w:hAnsi="Times New Roman" w:cs="Times New Roman"/>
          <w:sz w:val="24"/>
          <w:szCs w:val="24"/>
        </w:rPr>
        <w:t xml:space="preserve">OMGGS 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i wyposażenie </w:t>
      </w:r>
      <w:r w:rsidRPr="00596CB2">
        <w:rPr>
          <w:rFonts w:ascii="Times New Roman" w:hAnsi="Times New Roman" w:cs="Times New Roman"/>
          <w:sz w:val="24"/>
          <w:szCs w:val="24"/>
        </w:rPr>
        <w:t>j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ej w odpowiednie </w:t>
      </w:r>
      <w:r w:rsidR="000A0856">
        <w:rPr>
          <w:rFonts w:ascii="Times New Roman" w:hAnsi="Times New Roman" w:cs="Times New Roman"/>
          <w:sz w:val="24"/>
          <w:szCs w:val="24"/>
        </w:rPr>
        <w:t xml:space="preserve">zadania oraz 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fundusze </w:t>
      </w:r>
      <w:r w:rsidR="003C714C">
        <w:rPr>
          <w:rFonts w:ascii="Times New Roman" w:hAnsi="Times New Roman" w:cs="Times New Roman"/>
          <w:sz w:val="24"/>
          <w:szCs w:val="24"/>
        </w:rPr>
        <w:t>umożliwiające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prowadzenia </w:t>
      </w:r>
      <w:r w:rsidRPr="00596CB2">
        <w:rPr>
          <w:rFonts w:ascii="Times New Roman" w:hAnsi="Times New Roman" w:cs="Times New Roman"/>
          <w:sz w:val="24"/>
          <w:szCs w:val="24"/>
        </w:rPr>
        <w:t xml:space="preserve">w sposób stały i ciągły </w:t>
      </w:r>
      <w:r w:rsidR="000A0856">
        <w:rPr>
          <w:rFonts w:ascii="Times New Roman" w:hAnsi="Times New Roman" w:cs="Times New Roman"/>
          <w:sz w:val="24"/>
          <w:szCs w:val="24"/>
        </w:rPr>
        <w:t>polityki rozwoju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o </w:t>
      </w:r>
      <w:r w:rsidR="000A0856">
        <w:rPr>
          <w:rFonts w:ascii="Times New Roman" w:hAnsi="Times New Roman" w:cs="Times New Roman"/>
          <w:sz w:val="24"/>
          <w:szCs w:val="24"/>
        </w:rPr>
        <w:t xml:space="preserve">wymiarze 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strategicznym </w:t>
      </w:r>
      <w:r w:rsidRPr="00596CB2">
        <w:rPr>
          <w:rFonts w:ascii="Times New Roman" w:hAnsi="Times New Roman" w:cs="Times New Roman"/>
          <w:sz w:val="24"/>
          <w:szCs w:val="24"/>
        </w:rPr>
        <w:t xml:space="preserve">pozwoliłoby Polsce na bardziej aktywne promowanie polskiego punktu widzenia na kluczowe kwestie </w:t>
      </w:r>
      <w:r w:rsidR="000A0856">
        <w:rPr>
          <w:rFonts w:ascii="Times New Roman" w:hAnsi="Times New Roman" w:cs="Times New Roman"/>
          <w:sz w:val="24"/>
          <w:szCs w:val="24"/>
        </w:rPr>
        <w:t xml:space="preserve">metropolitalne </w:t>
      </w:r>
      <w:r w:rsidRPr="00596CB2">
        <w:rPr>
          <w:rFonts w:ascii="Times New Roman" w:hAnsi="Times New Roman" w:cs="Times New Roman"/>
          <w:sz w:val="24"/>
          <w:szCs w:val="24"/>
        </w:rPr>
        <w:t xml:space="preserve">będące przedmiotem debaty na poziomie </w:t>
      </w:r>
      <w:r w:rsidR="00FB1D9C">
        <w:rPr>
          <w:rFonts w:ascii="Times New Roman" w:hAnsi="Times New Roman" w:cs="Times New Roman"/>
          <w:sz w:val="24"/>
          <w:szCs w:val="24"/>
        </w:rPr>
        <w:t>europejskim</w:t>
      </w:r>
      <w:r w:rsidRPr="00596CB2">
        <w:rPr>
          <w:rFonts w:ascii="Times New Roman" w:hAnsi="Times New Roman" w:cs="Times New Roman"/>
          <w:sz w:val="24"/>
          <w:szCs w:val="24"/>
        </w:rPr>
        <w:t xml:space="preserve">. 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Polska obecnie ma 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>ł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abe 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(głównie teoretyczne) 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doświadczenia odnośnie funkcjonowania metropolii policentrycznych i nie ma się za bardzo czym 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>zieli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>ć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 w tym zakresie na poziomie UE, gdzie </w:t>
      </w:r>
      <w:r w:rsidR="000A0856" w:rsidRPr="00A67515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="00364DDE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 to kwestia</w:t>
      </w:r>
      <w:r w:rsidR="00FB1D9C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 o rosnącym znaczeniu</w:t>
      </w:r>
      <w:r w:rsidR="00FB1D9C">
        <w:rPr>
          <w:rFonts w:ascii="Times New Roman" w:hAnsi="Times New Roman" w:cs="Times New Roman"/>
          <w:sz w:val="24"/>
          <w:szCs w:val="24"/>
        </w:rPr>
        <w:t xml:space="preserve"> (ESPON</w:t>
      </w:r>
      <w:r w:rsidR="000C3EC6">
        <w:rPr>
          <w:rFonts w:ascii="Times New Roman" w:hAnsi="Times New Roman" w:cs="Times New Roman"/>
          <w:sz w:val="24"/>
          <w:szCs w:val="24"/>
        </w:rPr>
        <w:t xml:space="preserve"> 2021)</w:t>
      </w:r>
      <w:r w:rsidR="00364DDE">
        <w:rPr>
          <w:rFonts w:ascii="Times New Roman" w:hAnsi="Times New Roman" w:cs="Times New Roman"/>
          <w:sz w:val="24"/>
          <w:szCs w:val="24"/>
        </w:rPr>
        <w:t xml:space="preserve">. </w:t>
      </w:r>
      <w:r w:rsidR="000C3EC6">
        <w:rPr>
          <w:rFonts w:ascii="Times New Roman" w:hAnsi="Times New Roman" w:cs="Times New Roman"/>
          <w:sz w:val="24"/>
          <w:szCs w:val="24"/>
        </w:rPr>
        <w:t>Tematów do dyskusji jest sporo</w:t>
      </w:r>
      <w:r w:rsidR="00051260">
        <w:rPr>
          <w:rFonts w:ascii="Times New Roman" w:hAnsi="Times New Roman" w:cs="Times New Roman"/>
          <w:sz w:val="24"/>
          <w:szCs w:val="24"/>
        </w:rPr>
        <w:t>,</w:t>
      </w:r>
      <w:r w:rsidR="000C3EC6">
        <w:rPr>
          <w:rFonts w:ascii="Times New Roman" w:hAnsi="Times New Roman" w:cs="Times New Roman"/>
          <w:sz w:val="24"/>
          <w:szCs w:val="24"/>
        </w:rPr>
        <w:t xml:space="preserve"> np. dla Polski jest ważne w jakim zakresie</w:t>
      </w:r>
      <w:r w:rsidR="0020188B">
        <w:rPr>
          <w:rFonts w:ascii="Times New Roman" w:hAnsi="Times New Roman" w:cs="Times New Roman"/>
          <w:sz w:val="24"/>
          <w:szCs w:val="24"/>
        </w:rPr>
        <w:t xml:space="preserve"> UE powin</w:t>
      </w:r>
      <w:r w:rsidR="00D945FE">
        <w:rPr>
          <w:rFonts w:ascii="Times New Roman" w:hAnsi="Times New Roman" w:cs="Times New Roman"/>
          <w:sz w:val="24"/>
          <w:szCs w:val="24"/>
        </w:rPr>
        <w:t>n</w:t>
      </w:r>
      <w:r w:rsidR="0020188B">
        <w:rPr>
          <w:rFonts w:ascii="Times New Roman" w:hAnsi="Times New Roman" w:cs="Times New Roman"/>
          <w:sz w:val="24"/>
          <w:szCs w:val="24"/>
        </w:rPr>
        <w:t>a wspierać szynowy transport publiczny w obszarach metropolitalnych</w:t>
      </w:r>
      <w:r w:rsidR="00945DC8">
        <w:rPr>
          <w:rFonts w:ascii="Times New Roman" w:hAnsi="Times New Roman" w:cs="Times New Roman"/>
          <w:sz w:val="24"/>
          <w:szCs w:val="24"/>
        </w:rPr>
        <w:t>,</w:t>
      </w:r>
      <w:r w:rsidR="0020188B">
        <w:rPr>
          <w:rFonts w:ascii="Times New Roman" w:hAnsi="Times New Roman" w:cs="Times New Roman"/>
          <w:sz w:val="24"/>
          <w:szCs w:val="24"/>
        </w:rPr>
        <w:t xml:space="preserve"> nawet w regionach relatywnie dobrze rozwiniętych</w:t>
      </w:r>
      <w:r w:rsidR="00D945FE">
        <w:rPr>
          <w:rFonts w:ascii="Times New Roman" w:hAnsi="Times New Roman" w:cs="Times New Roman"/>
          <w:sz w:val="24"/>
          <w:szCs w:val="24"/>
        </w:rPr>
        <w:t>,</w:t>
      </w:r>
      <w:r w:rsidR="0020188B">
        <w:rPr>
          <w:rFonts w:ascii="Times New Roman" w:hAnsi="Times New Roman" w:cs="Times New Roman"/>
          <w:sz w:val="24"/>
          <w:szCs w:val="24"/>
        </w:rPr>
        <w:t xml:space="preserve"> ze względu na istotne korzyści zewnętrzne w ten sposób osiągane.</w:t>
      </w:r>
    </w:p>
    <w:p w14:paraId="4CFC68F4" w14:textId="77777777" w:rsidR="000A0856" w:rsidRDefault="00790E62" w:rsidP="00596C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6CB2">
        <w:rPr>
          <w:rFonts w:ascii="Times New Roman" w:hAnsi="Times New Roman" w:cs="Times New Roman"/>
          <w:sz w:val="24"/>
          <w:szCs w:val="24"/>
        </w:rPr>
        <w:t>Poniżej</w:t>
      </w:r>
      <w:r w:rsidR="00977E5E" w:rsidRPr="00596CB2">
        <w:rPr>
          <w:rFonts w:ascii="Times New Roman" w:hAnsi="Times New Roman" w:cs="Times New Roman"/>
          <w:sz w:val="24"/>
          <w:szCs w:val="24"/>
        </w:rPr>
        <w:t xml:space="preserve"> dwa konkretne przykłady</w:t>
      </w:r>
      <w:r w:rsidR="0020188B">
        <w:rPr>
          <w:rFonts w:ascii="Times New Roman" w:hAnsi="Times New Roman" w:cs="Times New Roman"/>
          <w:sz w:val="24"/>
          <w:szCs w:val="24"/>
        </w:rPr>
        <w:t xml:space="preserve"> możliwości zwiększenia wpływu Polski (via OMGGS) na kształtowanie polityk UE. </w:t>
      </w:r>
    </w:p>
    <w:p w14:paraId="0A5334F5" w14:textId="2586B275" w:rsidR="00977E5E" w:rsidRPr="00596CB2" w:rsidRDefault="005E3848" w:rsidP="00596C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6CB2">
        <w:rPr>
          <w:rFonts w:ascii="Times New Roman" w:hAnsi="Times New Roman" w:cs="Times New Roman"/>
          <w:sz w:val="24"/>
          <w:szCs w:val="24"/>
        </w:rPr>
        <w:t xml:space="preserve">Obecnie toczy się dyskusja nad politykami UE w nowej perspektywie finansowej po roku 2027. Odbywa się ona w rożnych gremiach i formach. Np. zaczynu do reformy Polityki spójności (głównej polityki rozwojowej UE) </w:t>
      </w:r>
      <w:r w:rsidR="008B1579" w:rsidRPr="00596CB2">
        <w:rPr>
          <w:rFonts w:ascii="Times New Roman" w:hAnsi="Times New Roman" w:cs="Times New Roman"/>
          <w:sz w:val="24"/>
          <w:szCs w:val="24"/>
        </w:rPr>
        <w:t xml:space="preserve">dostarczyły prace </w:t>
      </w:r>
      <w:r w:rsidR="00C76458" w:rsidRPr="00596CB2">
        <w:rPr>
          <w:rFonts w:ascii="Times New Roman" w:hAnsi="Times New Roman" w:cs="Times New Roman"/>
          <w:sz w:val="24"/>
          <w:szCs w:val="24"/>
        </w:rPr>
        <w:t>Grupy Wysokiego Szczebla ds. Przyszłości Polityki Spójności (UE 2024). Bra</w:t>
      </w:r>
      <w:r w:rsidR="00596CB2">
        <w:rPr>
          <w:rFonts w:ascii="Times New Roman" w:hAnsi="Times New Roman" w:cs="Times New Roman"/>
          <w:sz w:val="24"/>
          <w:szCs w:val="24"/>
        </w:rPr>
        <w:t>ł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a w nich udział także </w:t>
      </w:r>
      <w:r w:rsidR="00C338D4">
        <w:rPr>
          <w:rFonts w:ascii="Times New Roman" w:hAnsi="Times New Roman" w:cs="Times New Roman"/>
          <w:sz w:val="24"/>
          <w:szCs w:val="24"/>
        </w:rPr>
        <w:t>P</w:t>
      </w:r>
      <w:r w:rsidR="00C76458" w:rsidRPr="00596CB2">
        <w:rPr>
          <w:rFonts w:ascii="Times New Roman" w:hAnsi="Times New Roman" w:cs="Times New Roman"/>
          <w:sz w:val="24"/>
          <w:szCs w:val="24"/>
        </w:rPr>
        <w:t>rezydent</w:t>
      </w:r>
      <w:r w:rsidR="00F4439A">
        <w:rPr>
          <w:rFonts w:ascii="Times New Roman" w:hAnsi="Times New Roman" w:cs="Times New Roman"/>
          <w:sz w:val="24"/>
          <w:szCs w:val="24"/>
        </w:rPr>
        <w:t xml:space="preserve"> </w:t>
      </w:r>
      <w:r w:rsidR="00596CB2" w:rsidRPr="00596CB2">
        <w:rPr>
          <w:rFonts w:ascii="Times New Roman" w:hAnsi="Times New Roman" w:cs="Times New Roman"/>
          <w:sz w:val="24"/>
          <w:szCs w:val="24"/>
        </w:rPr>
        <w:t>Gdańska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Pani Aleksandra Dulkiewicz</w:t>
      </w:r>
      <w:r w:rsidR="00F4439A">
        <w:rPr>
          <w:rFonts w:ascii="Times New Roman" w:hAnsi="Times New Roman" w:cs="Times New Roman"/>
          <w:sz w:val="24"/>
          <w:szCs w:val="24"/>
        </w:rPr>
        <w:t xml:space="preserve"> </w:t>
      </w:r>
      <w:r w:rsidR="00596CB2">
        <w:rPr>
          <w:rFonts w:ascii="Times New Roman" w:hAnsi="Times New Roman" w:cs="Times New Roman"/>
          <w:sz w:val="24"/>
          <w:szCs w:val="24"/>
        </w:rPr>
        <w:t xml:space="preserve">(zaproszona ze względu na historyczny i </w:t>
      </w:r>
      <w:r w:rsidR="002819CB">
        <w:rPr>
          <w:rFonts w:ascii="Times New Roman" w:hAnsi="Times New Roman" w:cs="Times New Roman"/>
          <w:sz w:val="24"/>
          <w:szCs w:val="24"/>
        </w:rPr>
        <w:t>kul</w:t>
      </w:r>
      <w:r w:rsidR="00596CB2">
        <w:rPr>
          <w:rFonts w:ascii="Times New Roman" w:hAnsi="Times New Roman" w:cs="Times New Roman"/>
          <w:sz w:val="24"/>
          <w:szCs w:val="24"/>
        </w:rPr>
        <w:t>t</w:t>
      </w:r>
      <w:r w:rsidR="002819CB">
        <w:rPr>
          <w:rFonts w:ascii="Times New Roman" w:hAnsi="Times New Roman" w:cs="Times New Roman"/>
          <w:sz w:val="24"/>
          <w:szCs w:val="24"/>
        </w:rPr>
        <w:t>u</w:t>
      </w:r>
      <w:r w:rsidR="00596CB2">
        <w:rPr>
          <w:rFonts w:ascii="Times New Roman" w:hAnsi="Times New Roman" w:cs="Times New Roman"/>
          <w:sz w:val="24"/>
          <w:szCs w:val="24"/>
        </w:rPr>
        <w:t xml:space="preserve">rowy kapitał Gdańska) </w:t>
      </w:r>
      <w:r w:rsidR="00C76458" w:rsidRPr="00596CB2">
        <w:rPr>
          <w:rFonts w:ascii="Times New Roman" w:hAnsi="Times New Roman" w:cs="Times New Roman"/>
          <w:sz w:val="24"/>
          <w:szCs w:val="24"/>
        </w:rPr>
        <w:t>prezentując szeroko konsultowany punkt widzenia polskich miast na dyskutow</w:t>
      </w:r>
      <w:r w:rsidR="000C3EC6">
        <w:rPr>
          <w:rFonts w:ascii="Times New Roman" w:hAnsi="Times New Roman" w:cs="Times New Roman"/>
          <w:sz w:val="24"/>
          <w:szCs w:val="24"/>
        </w:rPr>
        <w:t>ane zmiany. Formalne utworzenie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metropolii </w:t>
      </w:r>
      <w:r w:rsidR="00364DDE">
        <w:rPr>
          <w:rFonts w:ascii="Times New Roman" w:hAnsi="Times New Roman" w:cs="Times New Roman"/>
          <w:sz w:val="24"/>
          <w:szCs w:val="24"/>
        </w:rPr>
        <w:t xml:space="preserve">trójmiejskiej 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pozwoliłoby na </w:t>
      </w:r>
      <w:r w:rsidR="00977E5E" w:rsidRPr="00596CB2">
        <w:rPr>
          <w:rFonts w:ascii="Times New Roman" w:hAnsi="Times New Roman" w:cs="Times New Roman"/>
          <w:sz w:val="24"/>
          <w:szCs w:val="24"/>
        </w:rPr>
        <w:t>włączenie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do tych dyskusji także wątków </w:t>
      </w:r>
      <w:r w:rsidR="002819CB">
        <w:rPr>
          <w:rFonts w:ascii="Times New Roman" w:hAnsi="Times New Roman" w:cs="Times New Roman"/>
          <w:sz w:val="24"/>
          <w:szCs w:val="24"/>
        </w:rPr>
        <w:t>polskich</w:t>
      </w:r>
      <w:r w:rsidR="00C76458" w:rsidRPr="00596CB2">
        <w:rPr>
          <w:rFonts w:ascii="Times New Roman" w:hAnsi="Times New Roman" w:cs="Times New Roman"/>
          <w:sz w:val="24"/>
          <w:szCs w:val="24"/>
        </w:rPr>
        <w:t xml:space="preserve"> obszarów funkcjonalnych (szczególnie o charakterze policentrycznym)</w:t>
      </w:r>
      <w:r w:rsidR="00977E5E" w:rsidRPr="00596CB2">
        <w:rPr>
          <w:rFonts w:ascii="Times New Roman" w:hAnsi="Times New Roman" w:cs="Times New Roman"/>
          <w:sz w:val="24"/>
          <w:szCs w:val="24"/>
        </w:rPr>
        <w:t xml:space="preserve"> i bardziej skuteczne adresowanie tych problemów z poziomu UE. </w:t>
      </w:r>
      <w:r w:rsidR="000C3EC6">
        <w:rPr>
          <w:rFonts w:ascii="Times New Roman" w:hAnsi="Times New Roman" w:cs="Times New Roman"/>
          <w:sz w:val="24"/>
          <w:szCs w:val="24"/>
        </w:rPr>
        <w:t>Poszerzył</w:t>
      </w:r>
      <w:r w:rsidR="002819CB">
        <w:rPr>
          <w:rFonts w:ascii="Times New Roman" w:hAnsi="Times New Roman" w:cs="Times New Roman"/>
          <w:sz w:val="24"/>
          <w:szCs w:val="24"/>
        </w:rPr>
        <w:t>by</w:t>
      </w:r>
      <w:r w:rsidR="00596CB2">
        <w:rPr>
          <w:rFonts w:ascii="Times New Roman" w:hAnsi="Times New Roman" w:cs="Times New Roman"/>
          <w:sz w:val="24"/>
          <w:szCs w:val="24"/>
        </w:rPr>
        <w:t xml:space="preserve"> się bowiem mandat</w:t>
      </w:r>
      <w:r w:rsidR="000C3EC6">
        <w:rPr>
          <w:rFonts w:ascii="Times New Roman" w:hAnsi="Times New Roman" w:cs="Times New Roman"/>
          <w:sz w:val="24"/>
          <w:szCs w:val="24"/>
        </w:rPr>
        <w:t>,</w:t>
      </w:r>
      <w:r w:rsidR="0038316D">
        <w:rPr>
          <w:rFonts w:ascii="Times New Roman" w:hAnsi="Times New Roman" w:cs="Times New Roman"/>
          <w:sz w:val="24"/>
          <w:szCs w:val="24"/>
        </w:rPr>
        <w:t xml:space="preserve"> </w:t>
      </w:r>
      <w:r w:rsidR="00364DDE">
        <w:rPr>
          <w:rFonts w:ascii="Times New Roman" w:hAnsi="Times New Roman" w:cs="Times New Roman"/>
          <w:sz w:val="24"/>
          <w:szCs w:val="24"/>
        </w:rPr>
        <w:t xml:space="preserve">ale i wiedza (doświadczenie) </w:t>
      </w:r>
      <w:r w:rsidR="00596CB2">
        <w:rPr>
          <w:rFonts w:ascii="Times New Roman" w:hAnsi="Times New Roman" w:cs="Times New Roman"/>
          <w:sz w:val="24"/>
          <w:szCs w:val="24"/>
        </w:rPr>
        <w:t xml:space="preserve">samej Pani Prezydent, która mogłaby reprezentować w tych nieformalnych pracach  zarówno szczebel  </w:t>
      </w:r>
      <w:r w:rsidR="00051260">
        <w:rPr>
          <w:rFonts w:ascii="Times New Roman" w:hAnsi="Times New Roman" w:cs="Times New Roman"/>
          <w:sz w:val="24"/>
          <w:szCs w:val="24"/>
        </w:rPr>
        <w:t xml:space="preserve">miejski, </w:t>
      </w:r>
      <w:r w:rsidR="00364DDE">
        <w:rPr>
          <w:rFonts w:ascii="Times New Roman" w:hAnsi="Times New Roman" w:cs="Times New Roman"/>
          <w:sz w:val="24"/>
          <w:szCs w:val="24"/>
        </w:rPr>
        <w:t>jak i metropolitalny.</w:t>
      </w:r>
    </w:p>
    <w:p w14:paraId="35234617" w14:textId="77777777" w:rsidR="005E3848" w:rsidRDefault="00790E62" w:rsidP="002819CB">
      <w:pPr>
        <w:ind w:left="36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596CB2">
        <w:rPr>
          <w:rFonts w:ascii="Times New Roman" w:hAnsi="Times New Roman" w:cs="Times New Roman"/>
          <w:sz w:val="24"/>
          <w:szCs w:val="24"/>
        </w:rPr>
        <w:t>W latach 2020-2021 realizowany był projekt ESPON Metro, który zaowocował szeregiem rekomendacji odnośnie wspierania przez polityki UE obszarów metropolitalnych</w:t>
      </w:r>
      <w:r w:rsidR="00051260">
        <w:rPr>
          <w:rFonts w:ascii="Times New Roman" w:hAnsi="Times New Roman" w:cs="Times New Roman"/>
          <w:sz w:val="24"/>
          <w:szCs w:val="24"/>
        </w:rPr>
        <w:t xml:space="preserve"> </w:t>
      </w:r>
      <w:r w:rsidR="000C3EC6">
        <w:rPr>
          <w:rFonts w:ascii="Times New Roman" w:hAnsi="Times New Roman" w:cs="Times New Roman"/>
          <w:sz w:val="24"/>
          <w:szCs w:val="24"/>
        </w:rPr>
        <w:t>(ESPON 2021)</w:t>
      </w:r>
      <w:r w:rsidR="00596CB2">
        <w:rPr>
          <w:rFonts w:ascii="Times New Roman" w:hAnsi="Times New Roman" w:cs="Times New Roman"/>
          <w:sz w:val="24"/>
          <w:szCs w:val="24"/>
        </w:rPr>
        <w:t>. Część z nich stała się elem</w:t>
      </w:r>
      <w:r w:rsidR="002819CB">
        <w:rPr>
          <w:rFonts w:ascii="Times New Roman" w:hAnsi="Times New Roman" w:cs="Times New Roman"/>
          <w:sz w:val="24"/>
          <w:szCs w:val="24"/>
        </w:rPr>
        <w:t>e</w:t>
      </w:r>
      <w:r w:rsidR="00596CB2">
        <w:rPr>
          <w:rFonts w:ascii="Times New Roman" w:hAnsi="Times New Roman" w:cs="Times New Roman"/>
          <w:sz w:val="24"/>
          <w:szCs w:val="24"/>
        </w:rPr>
        <w:t xml:space="preserve">ntem debaty nad kształtem nowej perspektywy finansowej UE po 2027 roku. </w:t>
      </w:r>
      <w:r w:rsidRPr="00596CB2">
        <w:rPr>
          <w:rFonts w:ascii="Times New Roman" w:eastAsia="Lato" w:hAnsi="Times New Roman" w:cs="Times New Roman"/>
          <w:sz w:val="24"/>
          <w:szCs w:val="24"/>
        </w:rPr>
        <w:t>OMGGS był partnerem projektu</w:t>
      </w:r>
      <w:r w:rsidR="00364DDE">
        <w:rPr>
          <w:rFonts w:ascii="Times New Roman" w:eastAsia="Lato" w:hAnsi="Times New Roman" w:cs="Times New Roman"/>
          <w:sz w:val="24"/>
          <w:szCs w:val="24"/>
        </w:rPr>
        <w:t>, który został zainicjowany przez formalnie utwierdzone  metropolie europejskie. C</w:t>
      </w:r>
      <w:r w:rsidRPr="00596CB2">
        <w:rPr>
          <w:rFonts w:ascii="Times New Roman" w:eastAsia="Lato" w:hAnsi="Times New Roman" w:cs="Times New Roman"/>
          <w:sz w:val="24"/>
          <w:szCs w:val="24"/>
        </w:rPr>
        <w:t>ałość funduszy pochodziła ze źródeł zewnętrznych</w:t>
      </w:r>
      <w:r w:rsidR="00596CB2">
        <w:rPr>
          <w:rFonts w:ascii="Times New Roman" w:eastAsia="Lato" w:hAnsi="Times New Roman" w:cs="Times New Roman"/>
          <w:sz w:val="24"/>
          <w:szCs w:val="24"/>
        </w:rPr>
        <w:t xml:space="preserve">. Formalne utworzenie metropolii </w:t>
      </w:r>
      <w:r w:rsidR="00364DDE">
        <w:rPr>
          <w:rFonts w:ascii="Times New Roman" w:eastAsia="Lato" w:hAnsi="Times New Roman" w:cs="Times New Roman"/>
          <w:sz w:val="24"/>
          <w:szCs w:val="24"/>
        </w:rPr>
        <w:t xml:space="preserve">trójmiejskiej </w:t>
      </w:r>
      <w:r w:rsidR="00596CB2">
        <w:rPr>
          <w:rFonts w:ascii="Times New Roman" w:eastAsia="Lato" w:hAnsi="Times New Roman" w:cs="Times New Roman"/>
          <w:sz w:val="24"/>
          <w:szCs w:val="24"/>
        </w:rPr>
        <w:t xml:space="preserve">pozwoliłoby na </w:t>
      </w:r>
      <w:r w:rsidR="00364DDE">
        <w:rPr>
          <w:rFonts w:ascii="Times New Roman" w:eastAsia="Lato" w:hAnsi="Times New Roman" w:cs="Times New Roman"/>
          <w:sz w:val="24"/>
          <w:szCs w:val="24"/>
        </w:rPr>
        <w:t>inicjowanie przez polskie metropolie tego typu prac badawczych na szczeblu UE z nadzieją na przełożenie ich wyników na polityki UE.</w:t>
      </w:r>
    </w:p>
    <w:p w14:paraId="2544A4D8" w14:textId="77777777" w:rsidR="00891A90" w:rsidRPr="00C338D4" w:rsidRDefault="00DB3777" w:rsidP="002819C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poprawi zdolności Polski do wpływania na polityki UE poprzez dodatkowy kanał artykułowania polskich interesów.</w:t>
      </w:r>
    </w:p>
    <w:p w14:paraId="5574A6B1" w14:textId="77777777" w:rsidR="008E1ED8" w:rsidRPr="000C3EC6" w:rsidRDefault="00737414" w:rsidP="008E1E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Utworzenie </w:t>
      </w:r>
      <w:r w:rsidR="00864FB2" w:rsidRPr="000C3EC6">
        <w:rPr>
          <w:rFonts w:ascii="Times New Roman" w:hAnsi="Times New Roman" w:cs="Times New Roman"/>
          <w:b/>
          <w:sz w:val="24"/>
          <w:szCs w:val="24"/>
        </w:rPr>
        <w:t xml:space="preserve">modelowego </w:t>
      </w:r>
      <w:r w:rsidRPr="000C3EC6">
        <w:rPr>
          <w:rFonts w:ascii="Times New Roman" w:hAnsi="Times New Roman" w:cs="Times New Roman"/>
          <w:b/>
          <w:sz w:val="24"/>
          <w:szCs w:val="24"/>
        </w:rPr>
        <w:t xml:space="preserve">mechanizmu osiągania rezultatów </w:t>
      </w:r>
      <w:r w:rsidR="00D945FE" w:rsidRPr="000C3EC6">
        <w:rPr>
          <w:rFonts w:ascii="Times New Roman" w:hAnsi="Times New Roman" w:cs="Times New Roman"/>
          <w:b/>
          <w:sz w:val="24"/>
          <w:szCs w:val="24"/>
        </w:rPr>
        <w:t xml:space="preserve">odnowionej </w:t>
      </w:r>
      <w:r w:rsidRPr="000C3EC6">
        <w:rPr>
          <w:rFonts w:ascii="Times New Roman" w:hAnsi="Times New Roman" w:cs="Times New Roman"/>
          <w:b/>
          <w:sz w:val="24"/>
          <w:szCs w:val="24"/>
        </w:rPr>
        <w:t>Polityki Spójności UE (</w:t>
      </w:r>
      <w:r w:rsidR="00864FB2" w:rsidRPr="000C3EC6">
        <w:rPr>
          <w:rFonts w:ascii="Times New Roman" w:hAnsi="Times New Roman" w:cs="Times New Roman"/>
          <w:b/>
          <w:sz w:val="24"/>
          <w:szCs w:val="24"/>
        </w:rPr>
        <w:t xml:space="preserve">utrzymanie na forum UE </w:t>
      </w:r>
      <w:r w:rsidRPr="000C3EC6">
        <w:rPr>
          <w:rFonts w:ascii="Times New Roman" w:hAnsi="Times New Roman" w:cs="Times New Roman"/>
          <w:b/>
          <w:sz w:val="24"/>
          <w:szCs w:val="24"/>
        </w:rPr>
        <w:t>wizerunku Polski jako lidera wdrażania tej polityki)</w:t>
      </w:r>
    </w:p>
    <w:p w14:paraId="772BC54A" w14:textId="034CFA10" w:rsidR="001F747C" w:rsidRDefault="001F747C" w:rsidP="00AF5061">
      <w:pPr>
        <w:pStyle w:val="Nagwek1"/>
        <w:spacing w:line="276" w:lineRule="auto"/>
        <w:ind w:left="284"/>
        <w:jc w:val="both"/>
        <w:rPr>
          <w:rFonts w:eastAsia="Lato"/>
          <w:b w:val="0"/>
          <w:sz w:val="24"/>
          <w:szCs w:val="24"/>
        </w:rPr>
      </w:pPr>
      <w:r w:rsidRPr="00AF5061">
        <w:rPr>
          <w:b w:val="0"/>
          <w:sz w:val="24"/>
          <w:szCs w:val="24"/>
        </w:rPr>
        <w:t xml:space="preserve">Wydaje się, że polityka spójności UE </w:t>
      </w:r>
      <w:r w:rsidR="00AF5061" w:rsidRPr="00AF5061">
        <w:rPr>
          <w:b w:val="0"/>
          <w:sz w:val="24"/>
          <w:szCs w:val="24"/>
        </w:rPr>
        <w:t>w nowej perspektywie finansowej (po 2027</w:t>
      </w:r>
      <w:r w:rsidR="00051260">
        <w:rPr>
          <w:b w:val="0"/>
          <w:sz w:val="24"/>
          <w:szCs w:val="24"/>
        </w:rPr>
        <w:t xml:space="preserve"> </w:t>
      </w:r>
      <w:r w:rsidR="00AF5061" w:rsidRPr="00AF5061">
        <w:rPr>
          <w:b w:val="0"/>
          <w:sz w:val="24"/>
          <w:szCs w:val="24"/>
        </w:rPr>
        <w:t>r.) przejdzie daleko</w:t>
      </w:r>
      <w:r w:rsidR="0038316D">
        <w:rPr>
          <w:b w:val="0"/>
          <w:sz w:val="24"/>
          <w:szCs w:val="24"/>
        </w:rPr>
        <w:t xml:space="preserve"> </w:t>
      </w:r>
      <w:r w:rsidR="00AF5061" w:rsidRPr="00AF5061">
        <w:rPr>
          <w:b w:val="0"/>
          <w:sz w:val="24"/>
          <w:szCs w:val="24"/>
        </w:rPr>
        <w:t>idąc</w:t>
      </w:r>
      <w:r w:rsidR="00AF5061">
        <w:rPr>
          <w:b w:val="0"/>
          <w:sz w:val="24"/>
          <w:szCs w:val="24"/>
        </w:rPr>
        <w:t>ą</w:t>
      </w:r>
      <w:r w:rsidR="00AF5061" w:rsidRPr="00AF5061">
        <w:rPr>
          <w:b w:val="0"/>
          <w:sz w:val="24"/>
          <w:szCs w:val="24"/>
        </w:rPr>
        <w:t xml:space="preserve"> transformacj</w:t>
      </w:r>
      <w:r w:rsidR="00AF5061">
        <w:rPr>
          <w:b w:val="0"/>
          <w:sz w:val="24"/>
          <w:szCs w:val="24"/>
        </w:rPr>
        <w:t>ę</w:t>
      </w:r>
      <w:r w:rsidR="00AF5061" w:rsidRPr="00AF5061">
        <w:rPr>
          <w:b w:val="0"/>
          <w:sz w:val="24"/>
          <w:szCs w:val="24"/>
        </w:rPr>
        <w:t>. Podstaw</w:t>
      </w:r>
      <w:r w:rsidR="000C3EC6">
        <w:rPr>
          <w:b w:val="0"/>
          <w:sz w:val="24"/>
          <w:szCs w:val="24"/>
        </w:rPr>
        <w:t>ą</w:t>
      </w:r>
      <w:r w:rsidR="00AF5061" w:rsidRPr="00AF5061">
        <w:rPr>
          <w:b w:val="0"/>
          <w:sz w:val="24"/>
          <w:szCs w:val="24"/>
        </w:rPr>
        <w:t xml:space="preserve"> otrzymania wsparcia nie będą już wydatki na uzgodnione cele i dokonywane w sposób kwalifikowa</w:t>
      </w:r>
      <w:r w:rsidR="000C3EC6">
        <w:rPr>
          <w:b w:val="0"/>
          <w:sz w:val="24"/>
          <w:szCs w:val="24"/>
        </w:rPr>
        <w:t>l</w:t>
      </w:r>
      <w:r w:rsidR="00AF5061" w:rsidRPr="00AF5061">
        <w:rPr>
          <w:b w:val="0"/>
          <w:sz w:val="24"/>
          <w:szCs w:val="24"/>
        </w:rPr>
        <w:t>ny</w:t>
      </w:r>
      <w:r w:rsidR="00C338D4">
        <w:rPr>
          <w:b w:val="0"/>
          <w:sz w:val="24"/>
          <w:szCs w:val="24"/>
        </w:rPr>
        <w:t>.</w:t>
      </w:r>
      <w:r w:rsidR="0038316D">
        <w:rPr>
          <w:b w:val="0"/>
          <w:sz w:val="24"/>
          <w:szCs w:val="24"/>
        </w:rPr>
        <w:t xml:space="preserve"> </w:t>
      </w:r>
      <w:r w:rsidR="00C338D4">
        <w:rPr>
          <w:b w:val="0"/>
          <w:sz w:val="24"/>
          <w:szCs w:val="24"/>
        </w:rPr>
        <w:t>P</w:t>
      </w:r>
      <w:r w:rsidR="00AF5061" w:rsidRPr="00AF5061">
        <w:rPr>
          <w:b w:val="0"/>
          <w:sz w:val="24"/>
          <w:szCs w:val="24"/>
        </w:rPr>
        <w:t xml:space="preserve">olityka ta  </w:t>
      </w:r>
      <w:r w:rsidRPr="00AF5061">
        <w:rPr>
          <w:b w:val="0"/>
          <w:sz w:val="24"/>
          <w:szCs w:val="24"/>
        </w:rPr>
        <w:t>będzie oparta na rezultatach</w:t>
      </w:r>
      <w:r w:rsidR="00C338D4">
        <w:rPr>
          <w:b w:val="0"/>
          <w:sz w:val="24"/>
          <w:szCs w:val="24"/>
        </w:rPr>
        <w:t xml:space="preserve">- </w:t>
      </w:r>
      <w:r w:rsidR="00AF5061">
        <w:rPr>
          <w:b w:val="0"/>
          <w:sz w:val="24"/>
          <w:szCs w:val="24"/>
        </w:rPr>
        <w:t xml:space="preserve">podobnie jak dziś ma to miejsce w przypadku </w:t>
      </w:r>
      <w:r w:rsidR="00AF5061" w:rsidRPr="000C3EC6">
        <w:rPr>
          <w:b w:val="0"/>
          <w:i/>
          <w:sz w:val="24"/>
          <w:szCs w:val="24"/>
        </w:rPr>
        <w:t>I</w:t>
      </w:r>
      <w:r w:rsidR="00AF5061" w:rsidRPr="00AF5061">
        <w:rPr>
          <w:rStyle w:val="Uwydatnienie"/>
          <w:b w:val="0"/>
          <w:sz w:val="24"/>
          <w:szCs w:val="24"/>
        </w:rPr>
        <w:t>nstrument</w:t>
      </w:r>
      <w:r w:rsidR="00AF5061">
        <w:rPr>
          <w:rStyle w:val="Uwydatnienie"/>
          <w:b w:val="0"/>
          <w:sz w:val="24"/>
          <w:szCs w:val="24"/>
        </w:rPr>
        <w:t>u</w:t>
      </w:r>
      <w:r w:rsidR="00AF5061" w:rsidRPr="00AF5061">
        <w:rPr>
          <w:rStyle w:val="Uwydatnienie"/>
          <w:b w:val="0"/>
          <w:sz w:val="24"/>
          <w:szCs w:val="24"/>
        </w:rPr>
        <w:t xml:space="preserve"> na rzecz Odbudowy i Zwiększania Odporności</w:t>
      </w:r>
      <w:r w:rsidR="00AF5061" w:rsidRPr="00AF5061">
        <w:rPr>
          <w:b w:val="0"/>
          <w:sz w:val="24"/>
          <w:szCs w:val="24"/>
        </w:rPr>
        <w:t xml:space="preserve"> (RRF). Jednym z  takich rezultatów, </w:t>
      </w:r>
      <w:r w:rsidR="00952D2D">
        <w:rPr>
          <w:b w:val="0"/>
          <w:sz w:val="24"/>
          <w:szCs w:val="24"/>
        </w:rPr>
        <w:t xml:space="preserve">obecnie </w:t>
      </w:r>
      <w:r w:rsidR="00AF5061" w:rsidRPr="00AF5061">
        <w:rPr>
          <w:b w:val="0"/>
          <w:sz w:val="24"/>
          <w:szCs w:val="24"/>
        </w:rPr>
        <w:t>uzgadniany</w:t>
      </w:r>
      <w:r w:rsidR="00952D2D">
        <w:rPr>
          <w:b w:val="0"/>
          <w:sz w:val="24"/>
          <w:szCs w:val="24"/>
        </w:rPr>
        <w:t>m</w:t>
      </w:r>
      <w:r w:rsidR="00AF5061" w:rsidRPr="00AF5061">
        <w:rPr>
          <w:b w:val="0"/>
          <w:sz w:val="24"/>
          <w:szCs w:val="24"/>
        </w:rPr>
        <w:t xml:space="preserve"> między Komisją Europejską</w:t>
      </w:r>
      <w:r w:rsidR="00AF5061">
        <w:rPr>
          <w:b w:val="0"/>
          <w:sz w:val="24"/>
          <w:szCs w:val="24"/>
        </w:rPr>
        <w:t>,</w:t>
      </w:r>
      <w:r w:rsidR="00AF5061" w:rsidRPr="00AF5061">
        <w:rPr>
          <w:b w:val="0"/>
          <w:sz w:val="24"/>
          <w:szCs w:val="24"/>
        </w:rPr>
        <w:t xml:space="preserve"> a rządzami krajów członkowskich </w:t>
      </w:r>
      <w:r w:rsidR="000A0856">
        <w:rPr>
          <w:b w:val="0"/>
          <w:sz w:val="24"/>
          <w:szCs w:val="24"/>
        </w:rPr>
        <w:t xml:space="preserve">stanie się zapewne </w:t>
      </w:r>
      <w:r w:rsidR="00AF5061" w:rsidRPr="00AF5061">
        <w:rPr>
          <w:b w:val="0"/>
          <w:sz w:val="24"/>
          <w:szCs w:val="24"/>
        </w:rPr>
        <w:t xml:space="preserve"> dostęp do usług pożytku publicznego (SGEI</w:t>
      </w:r>
      <w:r w:rsidR="000C3EC6">
        <w:rPr>
          <w:b w:val="0"/>
          <w:sz w:val="24"/>
          <w:szCs w:val="24"/>
        </w:rPr>
        <w:t xml:space="preserve"> − </w:t>
      </w:r>
      <w:r w:rsidR="00AF5061" w:rsidRPr="0038316D">
        <w:rPr>
          <w:b w:val="0"/>
          <w:sz w:val="24"/>
          <w:szCs w:val="24"/>
        </w:rPr>
        <w:t>Services of General Economic Interest</w:t>
      </w:r>
      <w:r w:rsidR="00AF5061" w:rsidRPr="00AF5061">
        <w:rPr>
          <w:b w:val="0"/>
          <w:sz w:val="24"/>
          <w:szCs w:val="24"/>
        </w:rPr>
        <w:t>)</w:t>
      </w:r>
      <w:r w:rsidR="00952D2D">
        <w:rPr>
          <w:b w:val="0"/>
          <w:sz w:val="24"/>
          <w:szCs w:val="24"/>
        </w:rPr>
        <w:t>,</w:t>
      </w:r>
      <w:r w:rsidR="00AF5061" w:rsidRPr="00AF5061">
        <w:rPr>
          <w:b w:val="0"/>
          <w:sz w:val="24"/>
          <w:szCs w:val="24"/>
        </w:rPr>
        <w:t>jako</w:t>
      </w:r>
      <w:r w:rsidR="0038316D">
        <w:rPr>
          <w:b w:val="0"/>
          <w:sz w:val="24"/>
          <w:szCs w:val="24"/>
        </w:rPr>
        <w:t xml:space="preserve"> </w:t>
      </w:r>
      <w:r w:rsidR="00AF5061" w:rsidRPr="00AF5061">
        <w:rPr>
          <w:b w:val="0"/>
          <w:sz w:val="24"/>
          <w:szCs w:val="24"/>
        </w:rPr>
        <w:t>sposobu r</w:t>
      </w:r>
      <w:r w:rsidR="00AF5061">
        <w:rPr>
          <w:b w:val="0"/>
          <w:sz w:val="24"/>
          <w:szCs w:val="24"/>
        </w:rPr>
        <w:t xml:space="preserve">ealizacji celu traktatowego jakim jest spójność terytorialna. </w:t>
      </w:r>
      <w:r w:rsidR="00952D2D">
        <w:rPr>
          <w:b w:val="0"/>
          <w:sz w:val="24"/>
          <w:szCs w:val="24"/>
        </w:rPr>
        <w:t>Przewiduje się, że c</w:t>
      </w:r>
      <w:r w:rsidR="00737414">
        <w:rPr>
          <w:b w:val="0"/>
          <w:sz w:val="24"/>
          <w:szCs w:val="24"/>
        </w:rPr>
        <w:t>zęścią SGEI będą usługi szkolnictwa wyższego</w:t>
      </w:r>
      <w:r w:rsidR="00737414" w:rsidRPr="00737414">
        <w:rPr>
          <w:b w:val="0"/>
          <w:sz w:val="24"/>
          <w:szCs w:val="24"/>
        </w:rPr>
        <w:t xml:space="preserve">, </w:t>
      </w:r>
      <w:r w:rsidR="00737414" w:rsidRPr="00737414">
        <w:rPr>
          <w:rFonts w:eastAsia="Lato"/>
          <w:b w:val="0"/>
          <w:sz w:val="24"/>
          <w:szCs w:val="24"/>
        </w:rPr>
        <w:t>rozwój kultury i ochrony dziedzictwa kulturowego, edukacja i oświata</w:t>
      </w:r>
      <w:r w:rsidR="000A0856">
        <w:rPr>
          <w:rFonts w:eastAsia="Lato"/>
          <w:b w:val="0"/>
          <w:sz w:val="24"/>
          <w:szCs w:val="24"/>
        </w:rPr>
        <w:t>,</w:t>
      </w:r>
      <w:r w:rsidR="00737414" w:rsidRPr="00737414">
        <w:rPr>
          <w:rFonts w:eastAsia="Lato"/>
          <w:b w:val="0"/>
          <w:sz w:val="24"/>
          <w:szCs w:val="24"/>
        </w:rPr>
        <w:t xml:space="preserve"> czy </w:t>
      </w:r>
      <w:r w:rsidR="00737414">
        <w:rPr>
          <w:rFonts w:eastAsia="Lato"/>
          <w:b w:val="0"/>
          <w:sz w:val="24"/>
          <w:szCs w:val="24"/>
        </w:rPr>
        <w:t>te</w:t>
      </w:r>
      <w:r w:rsidR="00F43669">
        <w:rPr>
          <w:rFonts w:eastAsia="Lato"/>
          <w:b w:val="0"/>
          <w:sz w:val="24"/>
          <w:szCs w:val="24"/>
        </w:rPr>
        <w:t>ż</w:t>
      </w:r>
      <w:r w:rsidR="00737414">
        <w:rPr>
          <w:rFonts w:eastAsia="Lato"/>
          <w:b w:val="0"/>
          <w:sz w:val="24"/>
          <w:szCs w:val="24"/>
        </w:rPr>
        <w:t xml:space="preserve"> usługi publiczne oferowane w ramach </w:t>
      </w:r>
      <w:r w:rsidR="00737414" w:rsidRPr="00737414">
        <w:rPr>
          <w:rFonts w:eastAsia="Lato"/>
          <w:b w:val="0"/>
          <w:sz w:val="24"/>
          <w:szCs w:val="24"/>
        </w:rPr>
        <w:t>centrów usług wspólnych.</w:t>
      </w:r>
      <w:r w:rsidR="00737414">
        <w:rPr>
          <w:rFonts w:eastAsia="Lato"/>
          <w:b w:val="0"/>
          <w:sz w:val="24"/>
          <w:szCs w:val="24"/>
        </w:rPr>
        <w:t xml:space="preserve"> Zmiana optyki Polityki </w:t>
      </w:r>
      <w:r w:rsidR="005E7B87">
        <w:rPr>
          <w:rFonts w:eastAsia="Lato"/>
          <w:b w:val="0"/>
          <w:sz w:val="24"/>
          <w:szCs w:val="24"/>
        </w:rPr>
        <w:t>Spójności</w:t>
      </w:r>
      <w:r w:rsidR="00051260">
        <w:rPr>
          <w:rFonts w:eastAsia="Lato"/>
          <w:b w:val="0"/>
          <w:sz w:val="24"/>
          <w:szCs w:val="24"/>
        </w:rPr>
        <w:t xml:space="preserve"> </w:t>
      </w:r>
      <w:r w:rsidR="00737414">
        <w:rPr>
          <w:rFonts w:eastAsia="Lato"/>
          <w:b w:val="0"/>
          <w:sz w:val="24"/>
          <w:szCs w:val="24"/>
        </w:rPr>
        <w:t xml:space="preserve"> może być trudna dla dotychczasowych liderów jej wdrażania, którzy dobrze sobie radz</w:t>
      </w:r>
      <w:r w:rsidR="005E7B87">
        <w:rPr>
          <w:rFonts w:eastAsia="Lato"/>
          <w:b w:val="0"/>
          <w:sz w:val="24"/>
          <w:szCs w:val="24"/>
        </w:rPr>
        <w:t>ili</w:t>
      </w:r>
      <w:r w:rsidR="0038316D">
        <w:rPr>
          <w:rFonts w:eastAsia="Lato"/>
          <w:b w:val="0"/>
          <w:sz w:val="24"/>
          <w:szCs w:val="24"/>
        </w:rPr>
        <w:t xml:space="preserve"> </w:t>
      </w:r>
      <w:r w:rsidR="00737414">
        <w:rPr>
          <w:rFonts w:eastAsia="Lato"/>
          <w:b w:val="0"/>
          <w:sz w:val="24"/>
          <w:szCs w:val="24"/>
        </w:rPr>
        <w:t>z mechanizmami absorpcji. W sytuacji</w:t>
      </w:r>
      <w:r w:rsidR="00051260">
        <w:rPr>
          <w:rFonts w:eastAsia="Lato"/>
          <w:b w:val="0"/>
          <w:sz w:val="24"/>
          <w:szCs w:val="24"/>
        </w:rPr>
        <w:t>,</w:t>
      </w:r>
      <w:r w:rsidR="00737414">
        <w:rPr>
          <w:rFonts w:eastAsia="Lato"/>
          <w:b w:val="0"/>
          <w:sz w:val="24"/>
          <w:szCs w:val="24"/>
        </w:rPr>
        <w:t xml:space="preserve"> gdy nie absorpcja</w:t>
      </w:r>
      <w:r w:rsidR="005E7B87">
        <w:rPr>
          <w:rFonts w:eastAsia="Lato"/>
          <w:b w:val="0"/>
          <w:sz w:val="24"/>
          <w:szCs w:val="24"/>
        </w:rPr>
        <w:t>,</w:t>
      </w:r>
      <w:r w:rsidR="00737414">
        <w:rPr>
          <w:rFonts w:eastAsia="Lato"/>
          <w:b w:val="0"/>
          <w:sz w:val="24"/>
          <w:szCs w:val="24"/>
        </w:rPr>
        <w:t xml:space="preserve"> ale rezultaty będą </w:t>
      </w:r>
      <w:r w:rsidR="00864FB2">
        <w:rPr>
          <w:rFonts w:eastAsia="Lato"/>
          <w:b w:val="0"/>
          <w:sz w:val="24"/>
          <w:szCs w:val="24"/>
        </w:rPr>
        <w:t>miały</w:t>
      </w:r>
      <w:r w:rsidR="00737414">
        <w:rPr>
          <w:rFonts w:eastAsia="Lato"/>
          <w:b w:val="0"/>
          <w:sz w:val="24"/>
          <w:szCs w:val="24"/>
        </w:rPr>
        <w:t xml:space="preserve"> znaczenie</w:t>
      </w:r>
      <w:r w:rsidR="000C3EC6">
        <w:rPr>
          <w:rFonts w:eastAsia="Lato"/>
          <w:b w:val="0"/>
          <w:sz w:val="24"/>
          <w:szCs w:val="24"/>
        </w:rPr>
        <w:t>,</w:t>
      </w:r>
      <w:r w:rsidR="0038316D">
        <w:rPr>
          <w:rFonts w:eastAsia="Lato"/>
          <w:b w:val="0"/>
          <w:sz w:val="24"/>
          <w:szCs w:val="24"/>
        </w:rPr>
        <w:t xml:space="preserve"> </w:t>
      </w:r>
      <w:r w:rsidR="00864FB2">
        <w:rPr>
          <w:rFonts w:eastAsia="Lato"/>
          <w:b w:val="0"/>
          <w:sz w:val="24"/>
          <w:szCs w:val="24"/>
        </w:rPr>
        <w:t>trzeba</w:t>
      </w:r>
      <w:r w:rsidR="00737414">
        <w:rPr>
          <w:rFonts w:eastAsia="Lato"/>
          <w:b w:val="0"/>
          <w:sz w:val="24"/>
          <w:szCs w:val="24"/>
        </w:rPr>
        <w:t xml:space="preserve"> będzie </w:t>
      </w:r>
      <w:r w:rsidR="00864FB2">
        <w:rPr>
          <w:rFonts w:eastAsia="Lato"/>
          <w:b w:val="0"/>
          <w:sz w:val="24"/>
          <w:szCs w:val="24"/>
        </w:rPr>
        <w:t>przemodelować</w:t>
      </w:r>
      <w:r w:rsidR="00737414">
        <w:rPr>
          <w:rFonts w:eastAsia="Lato"/>
          <w:b w:val="0"/>
          <w:sz w:val="24"/>
          <w:szCs w:val="24"/>
        </w:rPr>
        <w:t xml:space="preserve"> sposób wdrażania Polityki Spójności, a </w:t>
      </w:r>
      <w:r w:rsidR="00864FB2">
        <w:rPr>
          <w:rFonts w:eastAsia="Lato"/>
          <w:b w:val="0"/>
          <w:sz w:val="24"/>
          <w:szCs w:val="24"/>
        </w:rPr>
        <w:t>sukcesu nie da się osiągnąć bez wieloszczeblowego zarządzania</w:t>
      </w:r>
      <w:r w:rsidR="00952D2D">
        <w:rPr>
          <w:rFonts w:eastAsia="Lato"/>
          <w:b w:val="0"/>
          <w:sz w:val="24"/>
          <w:szCs w:val="24"/>
        </w:rPr>
        <w:t>,</w:t>
      </w:r>
      <w:r w:rsidR="00864FB2">
        <w:rPr>
          <w:rFonts w:eastAsia="Lato"/>
          <w:b w:val="0"/>
          <w:sz w:val="24"/>
          <w:szCs w:val="24"/>
        </w:rPr>
        <w:t xml:space="preserve"> o czym mówi stanowisko </w:t>
      </w:r>
      <w:r w:rsidR="005E7B87">
        <w:rPr>
          <w:rFonts w:eastAsia="Lato"/>
          <w:b w:val="0"/>
          <w:sz w:val="24"/>
          <w:szCs w:val="24"/>
        </w:rPr>
        <w:t>P</w:t>
      </w:r>
      <w:r w:rsidR="00864FB2">
        <w:rPr>
          <w:rFonts w:eastAsia="Lato"/>
          <w:b w:val="0"/>
          <w:sz w:val="24"/>
          <w:szCs w:val="24"/>
        </w:rPr>
        <w:t>olskiej Prezydencji w UE. Stąd znaczenie włączenia w ten proces szczebla metropolitalnego</w:t>
      </w:r>
      <w:r w:rsidR="005E7B87">
        <w:rPr>
          <w:rFonts w:eastAsia="Lato"/>
          <w:b w:val="0"/>
          <w:sz w:val="24"/>
          <w:szCs w:val="24"/>
        </w:rPr>
        <w:t>,</w:t>
      </w:r>
      <w:r w:rsidR="0038316D">
        <w:rPr>
          <w:rFonts w:eastAsia="Lato"/>
          <w:b w:val="0"/>
          <w:sz w:val="24"/>
          <w:szCs w:val="24"/>
        </w:rPr>
        <w:t xml:space="preserve"> </w:t>
      </w:r>
      <w:r w:rsidR="00864FB2">
        <w:rPr>
          <w:rFonts w:eastAsia="Lato"/>
          <w:b w:val="0"/>
          <w:sz w:val="24"/>
          <w:szCs w:val="24"/>
        </w:rPr>
        <w:t>któr</w:t>
      </w:r>
      <w:r w:rsidR="00952D2D">
        <w:rPr>
          <w:rFonts w:eastAsia="Lato"/>
          <w:b w:val="0"/>
          <w:sz w:val="24"/>
          <w:szCs w:val="24"/>
        </w:rPr>
        <w:t>y</w:t>
      </w:r>
      <w:r w:rsidR="00864FB2">
        <w:rPr>
          <w:rFonts w:eastAsia="Lato"/>
          <w:b w:val="0"/>
          <w:sz w:val="24"/>
          <w:szCs w:val="24"/>
        </w:rPr>
        <w:t xml:space="preserve"> będzie ważny np. w aspekcie osiągania rezultatów odnoszonych się do </w:t>
      </w:r>
      <w:r w:rsidR="005E7B87">
        <w:rPr>
          <w:rFonts w:eastAsia="Lato"/>
          <w:b w:val="0"/>
          <w:sz w:val="24"/>
          <w:szCs w:val="24"/>
        </w:rPr>
        <w:t xml:space="preserve">wzmiankowanych </w:t>
      </w:r>
      <w:r w:rsidR="00864FB2">
        <w:rPr>
          <w:rFonts w:eastAsia="Lato"/>
          <w:b w:val="0"/>
          <w:sz w:val="24"/>
          <w:szCs w:val="24"/>
        </w:rPr>
        <w:t>SGEI. Szczególnie ma to znaczenie w przypadku metropolii policentrycznych</w:t>
      </w:r>
      <w:r w:rsidR="00952D2D">
        <w:rPr>
          <w:rFonts w:eastAsia="Lato"/>
          <w:b w:val="0"/>
          <w:sz w:val="24"/>
          <w:szCs w:val="24"/>
        </w:rPr>
        <w:t>,</w:t>
      </w:r>
      <w:r w:rsidR="00864FB2">
        <w:rPr>
          <w:rFonts w:eastAsia="Lato"/>
          <w:b w:val="0"/>
          <w:sz w:val="24"/>
          <w:szCs w:val="24"/>
        </w:rPr>
        <w:t xml:space="preserve"> gdzie podaż SGEI w oparciu o decyzje poszczególnych podmiotów wydaje się suboptymalna</w:t>
      </w:r>
      <w:r w:rsidR="0020188B">
        <w:rPr>
          <w:rFonts w:eastAsia="Lato"/>
          <w:b w:val="0"/>
          <w:sz w:val="24"/>
          <w:szCs w:val="24"/>
        </w:rPr>
        <w:t xml:space="preserve">. W takim przypadku </w:t>
      </w:r>
      <w:r w:rsidR="0020188B" w:rsidRPr="00A67515">
        <w:rPr>
          <w:rFonts w:eastAsia="Lato"/>
          <w:b w:val="0"/>
          <w:sz w:val="24"/>
          <w:szCs w:val="24"/>
          <w:u w:val="single"/>
        </w:rPr>
        <w:t>t</w:t>
      </w:r>
      <w:r w:rsidR="005E7B87" w:rsidRPr="00A67515">
        <w:rPr>
          <w:rFonts w:eastAsia="Lato"/>
          <w:b w:val="0"/>
          <w:sz w:val="24"/>
          <w:szCs w:val="24"/>
          <w:u w:val="single"/>
        </w:rPr>
        <w:t xml:space="preserve">rudno będzie Polsce wywiązać się z rezultatów </w:t>
      </w:r>
      <w:r w:rsidR="00A67515">
        <w:rPr>
          <w:rFonts w:eastAsia="Lato"/>
          <w:b w:val="0"/>
          <w:sz w:val="24"/>
          <w:szCs w:val="24"/>
          <w:u w:val="single"/>
        </w:rPr>
        <w:t>odnośnie SGEI</w:t>
      </w:r>
      <w:r w:rsidR="000C3EC6" w:rsidRPr="00A67515">
        <w:rPr>
          <w:rFonts w:eastAsia="Lato"/>
          <w:b w:val="0"/>
          <w:sz w:val="24"/>
          <w:szCs w:val="24"/>
          <w:u w:val="single"/>
        </w:rPr>
        <w:t>,</w:t>
      </w:r>
      <w:r w:rsidR="005E7B87" w:rsidRPr="00A67515">
        <w:rPr>
          <w:rFonts w:eastAsia="Lato"/>
          <w:b w:val="0"/>
          <w:sz w:val="24"/>
          <w:szCs w:val="24"/>
          <w:u w:val="single"/>
        </w:rPr>
        <w:t xml:space="preserve"> zwłaszcza w niesformalizowanych obszarach metropolitalnych ze względu na chaos kompetencyjny, jazdę na gapę</w:t>
      </w:r>
      <w:r w:rsidR="002224E2">
        <w:rPr>
          <w:rStyle w:val="Odwoanieprzypisudolnego"/>
          <w:rFonts w:eastAsia="Lato"/>
          <w:b w:val="0"/>
          <w:sz w:val="24"/>
          <w:szCs w:val="24"/>
          <w:u w:val="single"/>
        </w:rPr>
        <w:footnoteReference w:id="2"/>
      </w:r>
      <w:r w:rsidR="005E7B87" w:rsidRPr="00A67515">
        <w:rPr>
          <w:rFonts w:eastAsia="Lato"/>
          <w:b w:val="0"/>
          <w:sz w:val="24"/>
          <w:szCs w:val="24"/>
          <w:u w:val="single"/>
        </w:rPr>
        <w:t xml:space="preserve"> (</w:t>
      </w:r>
      <w:r w:rsidR="005E7B87" w:rsidRPr="00A67515">
        <w:rPr>
          <w:rFonts w:eastAsia="Lato"/>
          <w:b w:val="0"/>
          <w:i/>
          <w:sz w:val="24"/>
          <w:szCs w:val="24"/>
          <w:u w:val="single"/>
        </w:rPr>
        <w:t>freeriding</w:t>
      </w:r>
      <w:r w:rsidR="005E7B87" w:rsidRPr="00A67515">
        <w:rPr>
          <w:rFonts w:eastAsia="Lato"/>
          <w:b w:val="0"/>
          <w:sz w:val="24"/>
          <w:szCs w:val="24"/>
          <w:u w:val="single"/>
        </w:rPr>
        <w:t>) i wysokie koszty transakcyjne</w:t>
      </w:r>
      <w:r w:rsidR="002224E2">
        <w:rPr>
          <w:rStyle w:val="Odwoanieprzypisudolnego"/>
          <w:rFonts w:eastAsia="Lato"/>
          <w:b w:val="0"/>
          <w:sz w:val="24"/>
          <w:szCs w:val="24"/>
          <w:u w:val="single"/>
        </w:rPr>
        <w:footnoteReference w:id="3"/>
      </w:r>
      <w:r w:rsidR="005E7B87">
        <w:rPr>
          <w:rFonts w:eastAsia="Lato"/>
          <w:b w:val="0"/>
          <w:sz w:val="24"/>
          <w:szCs w:val="24"/>
        </w:rPr>
        <w:t xml:space="preserve">. </w:t>
      </w:r>
    </w:p>
    <w:p w14:paraId="653CA4C9" w14:textId="77777777" w:rsidR="00891A90" w:rsidRPr="00952D2D" w:rsidRDefault="00DB3777" w:rsidP="00891A9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Polska będzie miała trudności w pozostaniu liderem odnowionej Polityki spójności bez wsparcia upodmiotowionego szczebla metropolitalnego</w:t>
      </w:r>
      <w:r w:rsidR="00952D2D">
        <w:rPr>
          <w:rFonts w:ascii="Times New Roman" w:hAnsi="Times New Roman" w:cs="Times New Roman"/>
          <w:b/>
          <w:sz w:val="24"/>
          <w:szCs w:val="24"/>
        </w:rPr>
        <w:t>.</w:t>
      </w:r>
    </w:p>
    <w:p w14:paraId="628AAB6D" w14:textId="77777777" w:rsidR="008E1ED8" w:rsidRPr="000C3EC6" w:rsidRDefault="00415685" w:rsidP="000A0856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 xml:space="preserve">Skuteczniejszy lobbing Polski w sprawach metropolitalnych </w:t>
      </w:r>
      <w:r w:rsidR="008E1ED8" w:rsidRPr="000C3EC6">
        <w:rPr>
          <w:rFonts w:ascii="Times New Roman" w:hAnsi="Times New Roman" w:cs="Times New Roman"/>
          <w:b/>
          <w:sz w:val="24"/>
          <w:szCs w:val="24"/>
        </w:rPr>
        <w:t xml:space="preserve">w organizacjach  międzynarodowych </w:t>
      </w:r>
    </w:p>
    <w:p w14:paraId="7CDF70D3" w14:textId="77777777" w:rsidR="00737414" w:rsidRDefault="00415685" w:rsidP="00D945FE">
      <w:pPr>
        <w:pStyle w:val="Akapitzli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Formalizacja OMGGS pozwoli na z</w:t>
      </w:r>
      <w:r w:rsidRPr="007704FA">
        <w:rPr>
          <w:rFonts w:ascii="Times New Roman" w:hAnsi="Times New Roman" w:cs="Times New Roman"/>
          <w:sz w:val="24"/>
          <w:szCs w:val="24"/>
        </w:rPr>
        <w:t xml:space="preserve">większenie znaczenia polskich podmiotów 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Pr="007704FA">
        <w:rPr>
          <w:rFonts w:ascii="Times New Roman" w:hAnsi="Times New Roman" w:cs="Times New Roman"/>
          <w:sz w:val="24"/>
          <w:szCs w:val="24"/>
        </w:rPr>
        <w:t>w organizacjach  międzynarodowych</w:t>
      </w:r>
      <w:r w:rsidR="00051260">
        <w:rPr>
          <w:rFonts w:ascii="Times New Roman" w:hAnsi="Times New Roman" w:cs="Times New Roman"/>
          <w:sz w:val="24"/>
          <w:szCs w:val="24"/>
        </w:rPr>
        <w:t xml:space="preserve">, </w:t>
      </w:r>
      <w:r w:rsidRPr="007704FA">
        <w:rPr>
          <w:rFonts w:ascii="Times New Roman" w:hAnsi="Times New Roman" w:cs="Times New Roman"/>
          <w:sz w:val="24"/>
          <w:szCs w:val="24"/>
        </w:rPr>
        <w:t>takich jak METREX</w:t>
      </w:r>
      <w:r>
        <w:rPr>
          <w:rFonts w:ascii="Times New Roman" w:hAnsi="Times New Roman" w:cs="Times New Roman"/>
          <w:sz w:val="24"/>
          <w:szCs w:val="24"/>
        </w:rPr>
        <w:t>(</w:t>
      </w:r>
      <w:r w:rsidR="00737414" w:rsidRPr="00737414">
        <w:rPr>
          <w:rFonts w:ascii="Times New Roman" w:hAnsi="Times New Roman" w:cs="Times New Roman"/>
          <w:sz w:val="24"/>
          <w:szCs w:val="24"/>
        </w:rPr>
        <w:t xml:space="preserve"> skrót od </w:t>
      </w:r>
      <w:r w:rsidR="00737414" w:rsidRPr="0038316D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Network of European Metropolitan Regions and Areas</w:t>
      </w: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737414" w:rsidRPr="00737414">
        <w:rPr>
          <w:rFonts w:ascii="Times New Roman" w:hAnsi="Times New Roman" w:cs="Times New Roman"/>
          <w:sz w:val="24"/>
          <w:szCs w:val="24"/>
        </w:rPr>
        <w:t xml:space="preserve">Sieć Europejskich Obszarów i Regionów Metropolitalnych). Jest to organizacja, która skupia się na współpracy między obszarami metropolitalnymi w Europie. Celem METREX jest poprawa jakości życia w miastach 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="00737414" w:rsidRPr="00737414">
        <w:rPr>
          <w:rFonts w:ascii="Times New Roman" w:hAnsi="Times New Roman" w:cs="Times New Roman"/>
          <w:sz w:val="24"/>
          <w:szCs w:val="24"/>
        </w:rPr>
        <w:t>i obszarach metropolitalnych poprzez wymianę doświadczeń, dobre praktyki oraz promowanie wspólnych inicjatyw w zakresie polityki miejskiej, gospodar</w:t>
      </w:r>
      <w:r w:rsidR="00F43669">
        <w:rPr>
          <w:rFonts w:ascii="Times New Roman" w:hAnsi="Times New Roman" w:cs="Times New Roman"/>
          <w:sz w:val="24"/>
          <w:szCs w:val="24"/>
        </w:rPr>
        <w:t>czej</w:t>
      </w:r>
      <w:r w:rsidR="00737414" w:rsidRPr="00737414">
        <w:rPr>
          <w:rFonts w:ascii="Times New Roman" w:hAnsi="Times New Roman" w:cs="Times New Roman"/>
          <w:sz w:val="24"/>
          <w:szCs w:val="24"/>
        </w:rPr>
        <w:t xml:space="preserve">, transportu, ochrony środowiska i rozwoju społecznego. </w:t>
      </w:r>
      <w:r w:rsidR="00864FB2" w:rsidRPr="00737414">
        <w:rPr>
          <w:rFonts w:ascii="Times New Roman" w:hAnsi="Times New Roman" w:cs="Times New Roman"/>
          <w:sz w:val="24"/>
          <w:szCs w:val="24"/>
        </w:rPr>
        <w:t>Oprócz</w:t>
      </w:r>
      <w:r w:rsidR="00737414" w:rsidRPr="00737414">
        <w:rPr>
          <w:rFonts w:ascii="Times New Roman" w:hAnsi="Times New Roman" w:cs="Times New Roman"/>
          <w:sz w:val="24"/>
          <w:szCs w:val="24"/>
        </w:rPr>
        <w:t xml:space="preserve"> wymiany doświadcz</w:t>
      </w:r>
      <w:r w:rsidR="00952D2D">
        <w:rPr>
          <w:rFonts w:ascii="Times New Roman" w:hAnsi="Times New Roman" w:cs="Times New Roman"/>
          <w:sz w:val="24"/>
          <w:szCs w:val="24"/>
        </w:rPr>
        <w:t>eń</w:t>
      </w:r>
      <w:r w:rsidR="00737414" w:rsidRPr="00737414">
        <w:rPr>
          <w:rFonts w:ascii="Times New Roman" w:hAnsi="Times New Roman" w:cs="Times New Roman"/>
          <w:sz w:val="24"/>
          <w:szCs w:val="24"/>
        </w:rPr>
        <w:t xml:space="preserve"> METREX prowadzi także badania na temat wyzwań i potrzeb obszarów metropolitalnych, a także </w:t>
      </w:r>
      <w:r w:rsidR="00737414" w:rsidRPr="00737414">
        <w:rPr>
          <w:rFonts w:ascii="Times New Roman" w:hAnsi="Times New Roman" w:cs="Times New Roman"/>
          <w:sz w:val="24"/>
          <w:szCs w:val="24"/>
        </w:rPr>
        <w:lastRenderedPageBreak/>
        <w:t xml:space="preserve">dostarcza dane i analizy, które pomagają w formułowaniu polityki miejskiej na szczeblu lokalnym, krajowym i europejskim </w:t>
      </w:r>
      <w:r w:rsidR="00864FB2">
        <w:rPr>
          <w:rFonts w:ascii="Times New Roman" w:hAnsi="Times New Roman" w:cs="Times New Roman"/>
          <w:sz w:val="24"/>
          <w:szCs w:val="24"/>
        </w:rPr>
        <w:t xml:space="preserve">oraz </w:t>
      </w:r>
      <w:r w:rsidR="00737414" w:rsidRPr="00737414">
        <w:rPr>
          <w:rFonts w:ascii="Times New Roman" w:hAnsi="Times New Roman" w:cs="Times New Roman"/>
          <w:sz w:val="24"/>
          <w:szCs w:val="24"/>
        </w:rPr>
        <w:t>zajmuje się lobbingiem</w:t>
      </w:r>
      <w:r w:rsidR="00864FB2">
        <w:rPr>
          <w:rFonts w:ascii="Times New Roman" w:hAnsi="Times New Roman" w:cs="Times New Roman"/>
          <w:sz w:val="24"/>
          <w:szCs w:val="24"/>
        </w:rPr>
        <w:t xml:space="preserve"> interesów metropolii na poziomie suprakrajowym.  </w:t>
      </w:r>
      <w:r w:rsidR="00864FB2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OMGGS jest członkiem </w:t>
      </w:r>
      <w:r w:rsidR="00A67515" w:rsidRPr="00A67515">
        <w:rPr>
          <w:rFonts w:ascii="Times New Roman" w:hAnsi="Times New Roman" w:cs="Times New Roman"/>
          <w:sz w:val="24"/>
          <w:szCs w:val="24"/>
          <w:u w:val="single"/>
        </w:rPr>
        <w:t>METREX</w:t>
      </w:r>
      <w:r w:rsidR="00864FB2" w:rsidRPr="00A67515">
        <w:rPr>
          <w:rFonts w:ascii="Times New Roman" w:hAnsi="Times New Roman" w:cs="Times New Roman"/>
          <w:sz w:val="24"/>
          <w:szCs w:val="24"/>
          <w:u w:val="single"/>
        </w:rPr>
        <w:t>, ale ze względu na brak wystarczających zasobów nie jest w stanie być jej liderem</w:t>
      </w:r>
      <w:r w:rsidR="00C20E5C" w:rsidRPr="00A6751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64FB2" w:rsidRPr="00A67515">
        <w:rPr>
          <w:rFonts w:ascii="Times New Roman" w:hAnsi="Times New Roman" w:cs="Times New Roman"/>
          <w:sz w:val="24"/>
          <w:szCs w:val="24"/>
          <w:u w:val="single"/>
        </w:rPr>
        <w:t xml:space="preserve"> ani w istotny sposób wpływać na jej działanie. Formalne usankcjonowanie OMGGS i przyznanie tej organizacji funduszy na jej funkcjonowanie i wykonywanie zadań własnych pozwoliłoby zmienić ten stan rzeczy.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="00864FB2">
        <w:rPr>
          <w:rFonts w:ascii="Times New Roman" w:hAnsi="Times New Roman" w:cs="Times New Roman"/>
          <w:sz w:val="24"/>
          <w:szCs w:val="24"/>
        </w:rPr>
        <w:t>W OMGGS tkwi ogromny potencjał w tym zakresie</w:t>
      </w:r>
      <w:r w:rsidR="009D47A8">
        <w:rPr>
          <w:rFonts w:ascii="Times New Roman" w:hAnsi="Times New Roman" w:cs="Times New Roman"/>
          <w:sz w:val="24"/>
          <w:szCs w:val="24"/>
        </w:rPr>
        <w:t>,</w:t>
      </w:r>
      <w:r w:rsidR="00864FB2">
        <w:rPr>
          <w:rFonts w:ascii="Times New Roman" w:hAnsi="Times New Roman" w:cs="Times New Roman"/>
          <w:sz w:val="24"/>
          <w:szCs w:val="24"/>
        </w:rPr>
        <w:t xml:space="preserve"> o czym świadczy udział OMGGS 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="00864FB2">
        <w:rPr>
          <w:rFonts w:ascii="Times New Roman" w:hAnsi="Times New Roman" w:cs="Times New Roman"/>
          <w:sz w:val="24"/>
          <w:szCs w:val="24"/>
        </w:rPr>
        <w:t xml:space="preserve">w projektach międzynarodowych oraz tworzenie aktualnych i ważkich dokumentów strategicznych. </w:t>
      </w:r>
    </w:p>
    <w:p w14:paraId="22F85500" w14:textId="77777777" w:rsidR="00AA0491" w:rsidRPr="00952D2D" w:rsidRDefault="00DB3777" w:rsidP="00AA049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poprawi zdolności Polski do wpływania na dyskurs dot. metropolizacji na szczeblu europejskim i globalnym.</w:t>
      </w:r>
    </w:p>
    <w:p w14:paraId="2BE1AEB4" w14:textId="77777777" w:rsidR="005E3848" w:rsidRPr="00C20E5C" w:rsidRDefault="005E3848" w:rsidP="000A0856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20E5C">
        <w:rPr>
          <w:rFonts w:ascii="Times New Roman" w:hAnsi="Times New Roman" w:cs="Times New Roman"/>
          <w:b/>
          <w:sz w:val="24"/>
          <w:szCs w:val="24"/>
        </w:rPr>
        <w:t>Korzyści wizerunkowe w skali globalnej</w:t>
      </w:r>
    </w:p>
    <w:p w14:paraId="0BF7F0BB" w14:textId="77777777" w:rsidR="00864FB2" w:rsidRDefault="00864FB2" w:rsidP="002018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</w:t>
      </w:r>
      <w:r w:rsidR="00762A6A">
        <w:rPr>
          <w:rFonts w:ascii="Times New Roman" w:hAnsi="Times New Roman" w:cs="Times New Roman"/>
          <w:sz w:val="24"/>
          <w:szCs w:val="24"/>
        </w:rPr>
        <w:t xml:space="preserve">ymi korzyściami dla Polski na poziomie europejskim czy globalnym 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="00EE10BE">
        <w:rPr>
          <w:rFonts w:ascii="Times New Roman" w:hAnsi="Times New Roman" w:cs="Times New Roman"/>
          <w:sz w:val="24"/>
          <w:szCs w:val="24"/>
        </w:rPr>
        <w:t xml:space="preserve">z formalizacji OMGGS </w:t>
      </w:r>
      <w:r w:rsidR="00762A6A">
        <w:rPr>
          <w:rFonts w:ascii="Times New Roman" w:hAnsi="Times New Roman" w:cs="Times New Roman"/>
          <w:sz w:val="24"/>
          <w:szCs w:val="24"/>
        </w:rPr>
        <w:t>są jednak te wizerunkowe. Tu adekwatna wydaje się paralela do inicjatywy powołania w Trójmieście Uniwersytetu Farenheinta poprzez  scalenie (sfederowanie) dotychczas</w:t>
      </w:r>
      <w:r w:rsidR="009265CC">
        <w:rPr>
          <w:rFonts w:ascii="Times New Roman" w:hAnsi="Times New Roman" w:cs="Times New Roman"/>
          <w:sz w:val="24"/>
          <w:szCs w:val="24"/>
        </w:rPr>
        <w:t xml:space="preserve"> samodzielnych uczelni. Liczba studentów, grantów czy pracowników naukowych pozostanie na niezmienionym poziomie, ale w globalnych rankingach pojawi się nowy liczący się podmiot </w:t>
      </w:r>
      <w:r w:rsidR="009265CC" w:rsidRPr="002224E2">
        <w:rPr>
          <w:rFonts w:ascii="Times New Roman" w:hAnsi="Times New Roman" w:cs="Times New Roman"/>
          <w:sz w:val="24"/>
          <w:szCs w:val="24"/>
        </w:rPr>
        <w:t xml:space="preserve">akademicki, wysoko klasyfikowany </w:t>
      </w:r>
      <w:r w:rsidR="00952D2D">
        <w:rPr>
          <w:rFonts w:ascii="Times New Roman" w:hAnsi="Times New Roman" w:cs="Times New Roman"/>
          <w:sz w:val="24"/>
          <w:szCs w:val="24"/>
        </w:rPr>
        <w:br/>
      </w:r>
      <w:r w:rsidR="009265CC" w:rsidRPr="002224E2">
        <w:rPr>
          <w:rFonts w:ascii="Times New Roman" w:hAnsi="Times New Roman" w:cs="Times New Roman"/>
          <w:sz w:val="24"/>
          <w:szCs w:val="24"/>
        </w:rPr>
        <w:t xml:space="preserve">i powszechnie  rozpoznawalny. Podobnie jest z metropolią. </w:t>
      </w:r>
      <w:r w:rsidR="009265CC" w:rsidRPr="002224E2">
        <w:rPr>
          <w:rFonts w:ascii="Times New Roman" w:hAnsi="Times New Roman" w:cs="Times New Roman"/>
          <w:sz w:val="24"/>
          <w:szCs w:val="24"/>
          <w:u w:val="single"/>
        </w:rPr>
        <w:t xml:space="preserve">Formalne usankcjonowanie jej istnienia, powołanie władz i wyposażenie ich w moc sprawczą zmieni ogląd potencjalnych </w:t>
      </w:r>
      <w:r w:rsidR="0046621F" w:rsidRPr="002224E2">
        <w:rPr>
          <w:rFonts w:ascii="Times New Roman" w:hAnsi="Times New Roman" w:cs="Times New Roman"/>
          <w:sz w:val="24"/>
          <w:szCs w:val="24"/>
          <w:u w:val="single"/>
        </w:rPr>
        <w:t xml:space="preserve">zagranicznych inwestorów bezpośrednich (BIZ) odnośnie atrakcyjności </w:t>
      </w:r>
      <w:r w:rsidR="00A67515" w:rsidRPr="002224E2">
        <w:rPr>
          <w:rFonts w:ascii="Times New Roman" w:hAnsi="Times New Roman" w:cs="Times New Roman"/>
          <w:sz w:val="24"/>
          <w:szCs w:val="24"/>
          <w:u w:val="single"/>
        </w:rPr>
        <w:t xml:space="preserve">tworzenia nowych połączeń, czy  </w:t>
      </w:r>
      <w:r w:rsidR="0046621F" w:rsidRPr="002224E2">
        <w:rPr>
          <w:rFonts w:ascii="Times New Roman" w:hAnsi="Times New Roman" w:cs="Times New Roman"/>
          <w:sz w:val="24"/>
          <w:szCs w:val="24"/>
          <w:u w:val="single"/>
        </w:rPr>
        <w:t>lokowania się w ponad milionowej metropolii</w:t>
      </w:r>
      <w:r w:rsidR="0046621F" w:rsidRPr="002224E2">
        <w:rPr>
          <w:rFonts w:ascii="Times New Roman" w:hAnsi="Times New Roman" w:cs="Times New Roman"/>
          <w:sz w:val="24"/>
          <w:szCs w:val="24"/>
        </w:rPr>
        <w:t>, któr</w:t>
      </w:r>
      <w:r w:rsidR="00952D2D">
        <w:rPr>
          <w:rFonts w:ascii="Times New Roman" w:hAnsi="Times New Roman" w:cs="Times New Roman"/>
          <w:sz w:val="24"/>
          <w:szCs w:val="24"/>
        </w:rPr>
        <w:t>ą</w:t>
      </w:r>
      <w:r w:rsidR="0046621F" w:rsidRPr="002224E2">
        <w:rPr>
          <w:rFonts w:ascii="Times New Roman" w:hAnsi="Times New Roman" w:cs="Times New Roman"/>
          <w:sz w:val="24"/>
          <w:szCs w:val="24"/>
        </w:rPr>
        <w:t xml:space="preserve"> dotychczas utożsamiano z </w:t>
      </w:r>
      <w:r w:rsidR="00C20E5C" w:rsidRPr="002224E2">
        <w:rPr>
          <w:rStyle w:val="lrzxr"/>
          <w:rFonts w:ascii="Times New Roman" w:hAnsi="Times New Roman" w:cs="Times New Roman"/>
          <w:sz w:val="24"/>
          <w:szCs w:val="24"/>
        </w:rPr>
        <w:t>477 </w:t>
      </w:r>
      <w:r w:rsidR="0046621F" w:rsidRPr="002224E2">
        <w:rPr>
          <w:rFonts w:ascii="Times New Roman" w:hAnsi="Times New Roman" w:cs="Times New Roman"/>
          <w:sz w:val="24"/>
          <w:szCs w:val="24"/>
        </w:rPr>
        <w:t>tys</w:t>
      </w:r>
      <w:r w:rsidR="00C20E5C" w:rsidRPr="002224E2">
        <w:rPr>
          <w:rFonts w:ascii="Times New Roman" w:hAnsi="Times New Roman" w:cs="Times New Roman"/>
          <w:sz w:val="24"/>
          <w:szCs w:val="24"/>
        </w:rPr>
        <w:t>.</w:t>
      </w:r>
      <w:r w:rsidR="0046621F" w:rsidRPr="002224E2">
        <w:rPr>
          <w:rFonts w:ascii="Times New Roman" w:hAnsi="Times New Roman" w:cs="Times New Roman"/>
          <w:sz w:val="24"/>
          <w:szCs w:val="24"/>
        </w:rPr>
        <w:t xml:space="preserve"> Gdańskiem</w:t>
      </w:r>
      <w:r w:rsidR="00C20E5C" w:rsidRPr="002224E2">
        <w:rPr>
          <w:rFonts w:ascii="Times New Roman" w:hAnsi="Times New Roman" w:cs="Times New Roman"/>
          <w:sz w:val="24"/>
          <w:szCs w:val="24"/>
        </w:rPr>
        <w:t>.</w:t>
      </w:r>
      <w:r w:rsidR="00BA77F6" w:rsidRPr="002224E2">
        <w:rPr>
          <w:rFonts w:ascii="Times New Roman" w:hAnsi="Times New Roman" w:cs="Times New Roman"/>
          <w:sz w:val="24"/>
          <w:szCs w:val="24"/>
        </w:rPr>
        <w:t>Korzyści wizerunkowe dotyczą nie tylko masy(liczby i wartości inwestycji)</w:t>
      </w:r>
      <w:r w:rsidR="00952D2D">
        <w:rPr>
          <w:rFonts w:ascii="Times New Roman" w:hAnsi="Times New Roman" w:cs="Times New Roman"/>
          <w:sz w:val="24"/>
          <w:szCs w:val="24"/>
        </w:rPr>
        <w:t>,</w:t>
      </w:r>
      <w:r w:rsidR="00BA77F6" w:rsidRPr="002224E2">
        <w:rPr>
          <w:rFonts w:ascii="Times New Roman" w:hAnsi="Times New Roman" w:cs="Times New Roman"/>
          <w:sz w:val="24"/>
          <w:szCs w:val="24"/>
        </w:rPr>
        <w:t xml:space="preserve"> ale także konkurencyjności i kreowania wiedzy</w:t>
      </w:r>
      <w:r w:rsidR="00C20E5C" w:rsidRPr="002224E2">
        <w:rPr>
          <w:rFonts w:ascii="Times New Roman" w:hAnsi="Times New Roman" w:cs="Times New Roman"/>
          <w:sz w:val="24"/>
          <w:szCs w:val="24"/>
        </w:rPr>
        <w:t>,</w:t>
      </w:r>
      <w:r w:rsidR="00AA0491" w:rsidRPr="002224E2">
        <w:rPr>
          <w:rFonts w:ascii="Times New Roman" w:hAnsi="Times New Roman" w:cs="Times New Roman"/>
          <w:sz w:val="24"/>
          <w:szCs w:val="24"/>
        </w:rPr>
        <w:t xml:space="preserve"> a nawet powiązań (globaln</w:t>
      </w:r>
      <w:r w:rsidR="00F43669">
        <w:rPr>
          <w:rFonts w:ascii="Times New Roman" w:hAnsi="Times New Roman" w:cs="Times New Roman"/>
          <w:sz w:val="24"/>
          <w:szCs w:val="24"/>
        </w:rPr>
        <w:t>e</w:t>
      </w:r>
      <w:r w:rsidR="00AA0491" w:rsidRPr="002224E2">
        <w:rPr>
          <w:rFonts w:ascii="Times New Roman" w:hAnsi="Times New Roman" w:cs="Times New Roman"/>
          <w:sz w:val="24"/>
          <w:szCs w:val="24"/>
        </w:rPr>
        <w:t xml:space="preserve"> łańcuch</w:t>
      </w:r>
      <w:r w:rsidR="00F43669">
        <w:rPr>
          <w:rFonts w:ascii="Times New Roman" w:hAnsi="Times New Roman" w:cs="Times New Roman"/>
          <w:sz w:val="24"/>
          <w:szCs w:val="24"/>
        </w:rPr>
        <w:t>y</w:t>
      </w:r>
      <w:r w:rsidR="00AA0491" w:rsidRPr="002224E2">
        <w:rPr>
          <w:rFonts w:ascii="Times New Roman" w:hAnsi="Times New Roman" w:cs="Times New Roman"/>
          <w:sz w:val="24"/>
          <w:szCs w:val="24"/>
        </w:rPr>
        <w:t xml:space="preserve"> dostaw)</w:t>
      </w:r>
      <w:r w:rsidR="00BA77F6" w:rsidRPr="002224E2">
        <w:rPr>
          <w:rFonts w:ascii="Times New Roman" w:hAnsi="Times New Roman" w:cs="Times New Roman"/>
          <w:sz w:val="24"/>
          <w:szCs w:val="24"/>
        </w:rPr>
        <w:t>. Metropolie mają zdolność p</w:t>
      </w:r>
      <w:r w:rsidR="000A0856" w:rsidRPr="002224E2">
        <w:rPr>
          <w:rFonts w:ascii="Times New Roman" w:hAnsi="Times New Roman" w:cs="Times New Roman"/>
          <w:sz w:val="24"/>
          <w:szCs w:val="24"/>
        </w:rPr>
        <w:t>rzyciągania</w:t>
      </w:r>
      <w:r w:rsidR="00BA77F6" w:rsidRPr="002224E2">
        <w:rPr>
          <w:rFonts w:ascii="Times New Roman" w:hAnsi="Times New Roman" w:cs="Times New Roman"/>
          <w:sz w:val="24"/>
          <w:szCs w:val="24"/>
        </w:rPr>
        <w:t xml:space="preserve"> wielkich inwestorów</w:t>
      </w:r>
      <w:r w:rsidR="000A0856" w:rsidRPr="002224E2">
        <w:rPr>
          <w:rFonts w:ascii="Times New Roman" w:hAnsi="Times New Roman" w:cs="Times New Roman"/>
          <w:sz w:val="24"/>
          <w:szCs w:val="24"/>
        </w:rPr>
        <w:t xml:space="preserve">, </w:t>
      </w:r>
      <w:r w:rsidR="00D91860" w:rsidRPr="002224E2">
        <w:rPr>
          <w:rFonts w:ascii="Times New Roman" w:hAnsi="Times New Roman" w:cs="Times New Roman"/>
          <w:sz w:val="24"/>
          <w:szCs w:val="24"/>
        </w:rPr>
        <w:t xml:space="preserve">a także tych angażujących się w B+R. Jest to kwestia </w:t>
      </w:r>
      <w:r w:rsidR="000A0856" w:rsidRPr="002224E2">
        <w:rPr>
          <w:rFonts w:ascii="Times New Roman" w:hAnsi="Times New Roman" w:cs="Times New Roman"/>
          <w:sz w:val="24"/>
          <w:szCs w:val="24"/>
        </w:rPr>
        <w:t>kluczowa</w:t>
      </w:r>
      <w:r w:rsidR="00D91860" w:rsidRPr="002224E2">
        <w:rPr>
          <w:rFonts w:ascii="Times New Roman" w:hAnsi="Times New Roman" w:cs="Times New Roman"/>
          <w:sz w:val="24"/>
          <w:szCs w:val="24"/>
        </w:rPr>
        <w:t xml:space="preserve"> dla rozwoju </w:t>
      </w:r>
      <w:r w:rsidR="000A0856" w:rsidRPr="002224E2">
        <w:rPr>
          <w:rFonts w:ascii="Times New Roman" w:hAnsi="Times New Roman" w:cs="Times New Roman"/>
          <w:sz w:val="24"/>
          <w:szCs w:val="24"/>
        </w:rPr>
        <w:t>całej</w:t>
      </w:r>
      <w:r w:rsidR="00D91860" w:rsidRPr="002224E2">
        <w:rPr>
          <w:rFonts w:ascii="Times New Roman" w:hAnsi="Times New Roman" w:cs="Times New Roman"/>
          <w:sz w:val="24"/>
          <w:szCs w:val="24"/>
        </w:rPr>
        <w:t xml:space="preserve"> Polski </w:t>
      </w:r>
      <w:r w:rsidR="000A0856" w:rsidRPr="002224E2">
        <w:rPr>
          <w:rFonts w:ascii="Times New Roman" w:hAnsi="Times New Roman" w:cs="Times New Roman"/>
          <w:sz w:val="24"/>
          <w:szCs w:val="24"/>
        </w:rPr>
        <w:t xml:space="preserve">Północnej, </w:t>
      </w:r>
      <w:r w:rsidR="00D91860" w:rsidRPr="002224E2">
        <w:rPr>
          <w:rFonts w:ascii="Times New Roman" w:hAnsi="Times New Roman" w:cs="Times New Roman"/>
          <w:sz w:val="24"/>
          <w:szCs w:val="24"/>
        </w:rPr>
        <w:t xml:space="preserve"> bo w</w:t>
      </w:r>
      <w:r w:rsidR="000A0856" w:rsidRPr="002224E2">
        <w:rPr>
          <w:rFonts w:ascii="Times New Roman" w:hAnsi="Times New Roman" w:cs="Times New Roman"/>
          <w:sz w:val="24"/>
          <w:szCs w:val="24"/>
        </w:rPr>
        <w:t xml:space="preserve"> Trójmieście</w:t>
      </w:r>
      <w:r w:rsidR="00D91860" w:rsidRPr="002224E2">
        <w:rPr>
          <w:rFonts w:ascii="Times New Roman" w:hAnsi="Times New Roman" w:cs="Times New Roman"/>
          <w:sz w:val="24"/>
          <w:szCs w:val="24"/>
        </w:rPr>
        <w:t xml:space="preserve">  nie ma obecnie</w:t>
      </w:r>
      <w:r w:rsidR="00D91860">
        <w:rPr>
          <w:rFonts w:ascii="Times New Roman" w:hAnsi="Times New Roman" w:cs="Times New Roman"/>
          <w:sz w:val="24"/>
          <w:szCs w:val="24"/>
        </w:rPr>
        <w:t xml:space="preserve"> ani jednej siedziby głównej znacz</w:t>
      </w:r>
      <w:r w:rsidR="000A0856">
        <w:rPr>
          <w:rFonts w:ascii="Times New Roman" w:hAnsi="Times New Roman" w:cs="Times New Roman"/>
          <w:sz w:val="24"/>
          <w:szCs w:val="24"/>
        </w:rPr>
        <w:t>ącej korporacji międzynarodowej</w:t>
      </w:r>
      <w:r w:rsidR="00D91860">
        <w:rPr>
          <w:rFonts w:ascii="Times New Roman" w:hAnsi="Times New Roman" w:cs="Times New Roman"/>
          <w:sz w:val="24"/>
          <w:szCs w:val="24"/>
        </w:rPr>
        <w:t xml:space="preserve">,  </w:t>
      </w:r>
      <w:r w:rsidR="000A0856">
        <w:rPr>
          <w:rFonts w:ascii="Times New Roman" w:hAnsi="Times New Roman" w:cs="Times New Roman"/>
          <w:sz w:val="24"/>
          <w:szCs w:val="24"/>
        </w:rPr>
        <w:t xml:space="preserve">aczkolwiek są oddziały zagranicznych korporacji nakierowane na prowadzenie badań (np. Intel). </w:t>
      </w:r>
      <w:r w:rsidR="00D945FE">
        <w:rPr>
          <w:rFonts w:ascii="Times New Roman" w:hAnsi="Times New Roman" w:cs="Times New Roman"/>
          <w:sz w:val="24"/>
          <w:szCs w:val="24"/>
        </w:rPr>
        <w:t>Korzyści wizerunkowe mogą aktywować zmiany kumulatywne</w:t>
      </w:r>
      <w:r w:rsidR="009D47A8">
        <w:rPr>
          <w:rFonts w:ascii="Times New Roman" w:hAnsi="Times New Roman" w:cs="Times New Roman"/>
          <w:sz w:val="24"/>
          <w:szCs w:val="24"/>
        </w:rPr>
        <w:t>,</w:t>
      </w:r>
      <w:r w:rsidR="00D945FE">
        <w:rPr>
          <w:rFonts w:ascii="Times New Roman" w:hAnsi="Times New Roman" w:cs="Times New Roman"/>
          <w:sz w:val="24"/>
          <w:szCs w:val="24"/>
        </w:rPr>
        <w:t xml:space="preserve"> potrzebujące sygnalnego bodźca (inicjującego falę przypływów), a skutkujące głębokimi zmianami strukturalnymi jak to zostało opisane np. w teoriach nowej geografii ekonomicznej</w:t>
      </w:r>
      <w:r w:rsidR="003D08DF">
        <w:rPr>
          <w:rFonts w:ascii="Times New Roman" w:hAnsi="Times New Roman" w:cs="Times New Roman"/>
          <w:sz w:val="24"/>
          <w:szCs w:val="24"/>
        </w:rPr>
        <w:t xml:space="preserve"> (Fujita i in. 1999, 275 i dalsze)</w:t>
      </w:r>
      <w:r w:rsidR="00D945FE">
        <w:rPr>
          <w:rFonts w:ascii="Times New Roman" w:hAnsi="Times New Roman" w:cs="Times New Roman"/>
          <w:sz w:val="24"/>
          <w:szCs w:val="24"/>
        </w:rPr>
        <w:t>.</w:t>
      </w:r>
      <w:r w:rsidR="00E706A3">
        <w:rPr>
          <w:rFonts w:ascii="Times New Roman" w:hAnsi="Times New Roman" w:cs="Times New Roman"/>
          <w:sz w:val="24"/>
          <w:szCs w:val="24"/>
        </w:rPr>
        <w:t xml:space="preserve"> Na poziomie UE korzyścią dla Polski będzie zwiększenie jej trakcyjności inwestycyjnej jako kraju, ale także poprawa miejsca polskich przedsiębiorstw (przedsiębiorstw ulokowanych w naszym kraju) w globalnym łańcuchu dostaw. Efektem finalnym będzie to</w:t>
      </w:r>
      <w:r w:rsidR="00051260">
        <w:rPr>
          <w:rFonts w:ascii="Times New Roman" w:hAnsi="Times New Roman" w:cs="Times New Roman"/>
          <w:sz w:val="24"/>
          <w:szCs w:val="24"/>
        </w:rPr>
        <w:t>,</w:t>
      </w:r>
      <w:r w:rsidR="00E706A3">
        <w:rPr>
          <w:rFonts w:ascii="Times New Roman" w:hAnsi="Times New Roman" w:cs="Times New Roman"/>
          <w:sz w:val="24"/>
          <w:szCs w:val="24"/>
        </w:rPr>
        <w:t xml:space="preserve"> o czym jest mowa w raportach Letty</w:t>
      </w:r>
      <w:r w:rsidR="00F16B63">
        <w:rPr>
          <w:rFonts w:ascii="Times New Roman" w:hAnsi="Times New Roman" w:cs="Times New Roman"/>
          <w:sz w:val="24"/>
          <w:szCs w:val="24"/>
        </w:rPr>
        <w:t xml:space="preserve">(2024) </w:t>
      </w:r>
      <w:r w:rsidR="00E706A3">
        <w:rPr>
          <w:rFonts w:ascii="Times New Roman" w:hAnsi="Times New Roman" w:cs="Times New Roman"/>
          <w:sz w:val="24"/>
          <w:szCs w:val="24"/>
        </w:rPr>
        <w:t>i Draghiego</w:t>
      </w:r>
      <w:r w:rsidR="00F16B63">
        <w:rPr>
          <w:rFonts w:ascii="Times New Roman" w:hAnsi="Times New Roman" w:cs="Times New Roman"/>
          <w:sz w:val="24"/>
          <w:szCs w:val="24"/>
        </w:rPr>
        <w:t xml:space="preserve"> (2024) −</w:t>
      </w:r>
      <w:r w:rsidR="00E706A3">
        <w:rPr>
          <w:rFonts w:ascii="Times New Roman" w:hAnsi="Times New Roman" w:cs="Times New Roman"/>
          <w:sz w:val="24"/>
          <w:szCs w:val="24"/>
        </w:rPr>
        <w:t xml:space="preserve"> poprawa pozycji konkurencyjnej naszego kraju.  </w:t>
      </w:r>
    </w:p>
    <w:p w14:paraId="41DAF865" w14:textId="3B21DC27" w:rsidR="00AA0491" w:rsidRPr="00952D2D" w:rsidRDefault="00DB3777" w:rsidP="0020188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stworzy korzyści wizerunkowe które</w:t>
      </w:r>
      <w:r w:rsidR="00051260">
        <w:rPr>
          <w:rFonts w:ascii="Times New Roman" w:hAnsi="Times New Roman" w:cs="Times New Roman"/>
          <w:b/>
          <w:sz w:val="24"/>
          <w:szCs w:val="24"/>
        </w:rPr>
        <w:t>,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przełożą się na korzyści ekonomiczne</w:t>
      </w:r>
      <w:r w:rsidR="00051260">
        <w:rPr>
          <w:rFonts w:ascii="Times New Roman" w:hAnsi="Times New Roman" w:cs="Times New Roman"/>
          <w:b/>
          <w:sz w:val="24"/>
          <w:szCs w:val="24"/>
        </w:rPr>
        <w:t>,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np. pozwolą na pozyskanie dodatkowych BIZ i akceleracje B+R</w:t>
      </w:r>
      <w:r w:rsidR="00051260">
        <w:rPr>
          <w:rFonts w:ascii="Times New Roman" w:hAnsi="Times New Roman" w:cs="Times New Roman"/>
          <w:b/>
          <w:sz w:val="24"/>
          <w:szCs w:val="24"/>
        </w:rPr>
        <w:t>,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a także włączanie</w:t>
      </w:r>
      <w:r w:rsidR="00383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777">
        <w:rPr>
          <w:rFonts w:ascii="Times New Roman" w:hAnsi="Times New Roman" w:cs="Times New Roman"/>
          <w:b/>
          <w:sz w:val="24"/>
          <w:szCs w:val="24"/>
        </w:rPr>
        <w:t>polskiej gospodarki w międzynarodowy łańcuch dostaw.</w:t>
      </w:r>
    </w:p>
    <w:p w14:paraId="087818F4" w14:textId="77777777" w:rsidR="002819CB" w:rsidRPr="00AB48B4" w:rsidRDefault="002819CB" w:rsidP="002819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KORZYSCI </w:t>
      </w:r>
      <w:r w:rsidR="00EE10BE" w:rsidRPr="00AB48B4">
        <w:rPr>
          <w:rFonts w:ascii="Times New Roman" w:hAnsi="Times New Roman" w:cs="Times New Roman"/>
          <w:b/>
          <w:sz w:val="24"/>
          <w:szCs w:val="24"/>
        </w:rPr>
        <w:t xml:space="preserve">dla Polski </w:t>
      </w:r>
      <w:r w:rsidRPr="00AB48B4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AB4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ustawowej formalizacji funkcjonowania </w:t>
      </w:r>
      <w:r w:rsidRPr="00AB48B4">
        <w:rPr>
          <w:rFonts w:ascii="Times New Roman" w:eastAsia="Lato" w:hAnsi="Times New Roman" w:cs="Times New Roman"/>
          <w:b/>
          <w:sz w:val="24"/>
          <w:szCs w:val="24"/>
        </w:rPr>
        <w:t xml:space="preserve">OMGGS </w:t>
      </w:r>
      <w:r w:rsidRPr="00AB4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− poziom krajowy</w:t>
      </w:r>
    </w:p>
    <w:p w14:paraId="02620F74" w14:textId="77777777" w:rsidR="002819CB" w:rsidRPr="00C20E5C" w:rsidRDefault="002819CB" w:rsidP="002819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5C">
        <w:rPr>
          <w:rFonts w:ascii="Times New Roman" w:hAnsi="Times New Roman" w:cs="Times New Roman"/>
          <w:b/>
          <w:sz w:val="24"/>
          <w:szCs w:val="24"/>
        </w:rPr>
        <w:t xml:space="preserve">Domknięcie projektu polskiej </w:t>
      </w:r>
      <w:r w:rsidR="00E83B8A" w:rsidRPr="00C20E5C">
        <w:rPr>
          <w:rFonts w:ascii="Times New Roman" w:hAnsi="Times New Roman" w:cs="Times New Roman"/>
          <w:b/>
          <w:sz w:val="24"/>
          <w:szCs w:val="24"/>
        </w:rPr>
        <w:t>metropolii</w:t>
      </w:r>
      <w:r w:rsidRPr="00C20E5C">
        <w:rPr>
          <w:rFonts w:ascii="Times New Roman" w:hAnsi="Times New Roman" w:cs="Times New Roman"/>
          <w:b/>
          <w:sz w:val="24"/>
          <w:szCs w:val="24"/>
        </w:rPr>
        <w:t xml:space="preserve"> si</w:t>
      </w:r>
      <w:r w:rsidR="00E83B8A" w:rsidRPr="00C20E5C">
        <w:rPr>
          <w:rFonts w:ascii="Times New Roman" w:hAnsi="Times New Roman" w:cs="Times New Roman"/>
          <w:b/>
          <w:sz w:val="24"/>
          <w:szCs w:val="24"/>
        </w:rPr>
        <w:t>e</w:t>
      </w:r>
      <w:r w:rsidRPr="00C20E5C">
        <w:rPr>
          <w:rFonts w:ascii="Times New Roman" w:hAnsi="Times New Roman" w:cs="Times New Roman"/>
          <w:b/>
          <w:sz w:val="24"/>
          <w:szCs w:val="24"/>
        </w:rPr>
        <w:t>ciowej</w:t>
      </w:r>
    </w:p>
    <w:p w14:paraId="06F77B35" w14:textId="48D27510" w:rsidR="00E83B8A" w:rsidRPr="00E83B8A" w:rsidRDefault="00E83B8A" w:rsidP="00E024A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Jednym z istotnych czynników wspomagającym wzrost gospodarczy Polski w ostatniej dekadzie była konsekwentna realizacja zapisanego w KPZK2030 projektu metropolii sieciowej</w:t>
      </w:r>
      <w:r w:rsidR="0038316D">
        <w:rPr>
          <w:rFonts w:ascii="Times New Roman" w:hAnsi="Times New Roman" w:cs="Times New Roman"/>
          <w:sz w:val="24"/>
          <w:szCs w:val="24"/>
        </w:rPr>
        <w:t xml:space="preserve"> </w:t>
      </w:r>
      <w:r w:rsidR="00EB5D59" w:rsidRPr="00C20E5C">
        <w:rPr>
          <w:rFonts w:ascii="Times New Roman" w:hAnsi="Times New Roman" w:cs="Times New Roman"/>
          <w:color w:val="000000" w:themeColor="text1"/>
          <w:sz w:val="24"/>
          <w:szCs w:val="24"/>
        </w:rPr>
        <w:t>(Korcellii i in. 2010)</w:t>
      </w:r>
      <w:r w:rsidRPr="00C2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Wielkie polskie miasta zostały skomunikowane transportem drogowym i kolejowym, skracającym czas podroży do Warszawy i </w:t>
      </w:r>
      <w:r w:rsidR="00C20E5C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odzi poniżej 3h </w:t>
      </w:r>
      <w:r w:rsidR="00C20E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do 5-6</w:t>
      </w:r>
      <w:r w:rsidR="000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 w najbardziej oddalonych relacjach</w:t>
      </w:r>
      <w:r w:rsidR="00C20E5C">
        <w:rPr>
          <w:rFonts w:ascii="Times New Roman" w:hAnsi="Times New Roman" w:cs="Times New Roman"/>
          <w:sz w:val="24"/>
          <w:szCs w:val="24"/>
        </w:rPr>
        <w:t>)</w:t>
      </w:r>
      <w:r w:rsidR="00FE74E8">
        <w:rPr>
          <w:rFonts w:ascii="Times New Roman" w:hAnsi="Times New Roman" w:cs="Times New Roman"/>
          <w:sz w:val="24"/>
          <w:szCs w:val="24"/>
        </w:rPr>
        <w:t xml:space="preserve">. To z kolei uruchomiło dodatkowe przepływy idei, ludzi i towarów. 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>Metropolia sieciowa to nie tylko po</w:t>
      </w:r>
      <w:r w:rsidR="00C20E5C" w:rsidRPr="00ED06DE">
        <w:rPr>
          <w:rFonts w:ascii="Times New Roman" w:hAnsi="Times New Roman" w:cs="Times New Roman"/>
          <w:sz w:val="24"/>
          <w:szCs w:val="24"/>
          <w:u w:val="single"/>
        </w:rPr>
        <w:t>łą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 xml:space="preserve">czenia ale także węzły. Jeden z nich pozostał </w:t>
      </w:r>
      <w:r w:rsidR="00EE74E8" w:rsidRPr="00ED06DE">
        <w:rPr>
          <w:rFonts w:ascii="Times New Roman" w:hAnsi="Times New Roman" w:cs="Times New Roman"/>
          <w:sz w:val="24"/>
          <w:szCs w:val="24"/>
          <w:u w:val="single"/>
        </w:rPr>
        <w:t>„niedokończony”</w:t>
      </w:r>
      <w:r w:rsidR="0005126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 xml:space="preserve"> tj. ten północny. Utworzenie OMGGS pozwoliłoby na zakończenie tego procesu</w:t>
      </w:r>
      <w:r w:rsidR="00C20E5C" w:rsidRPr="00ED06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 xml:space="preserve"> tak</w:t>
      </w:r>
      <w:r w:rsidR="0005126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 xml:space="preserve"> aby węzeł północ</w:t>
      </w:r>
      <w:r w:rsidR="00051260">
        <w:rPr>
          <w:rFonts w:ascii="Times New Roman" w:hAnsi="Times New Roman" w:cs="Times New Roman"/>
          <w:sz w:val="24"/>
          <w:szCs w:val="24"/>
          <w:u w:val="single"/>
        </w:rPr>
        <w:t>ny składał się z </w:t>
      </w:r>
      <w:r w:rsidR="00482E99" w:rsidRPr="00ED06DE">
        <w:rPr>
          <w:rFonts w:ascii="Times New Roman" w:hAnsi="Times New Roman" w:cs="Times New Roman"/>
          <w:sz w:val="24"/>
          <w:szCs w:val="24"/>
          <w:u w:val="single"/>
        </w:rPr>
        <w:t>miast współpracujących w istotnych kwestiach rozwojowych</w:t>
      </w:r>
      <w:r w:rsidR="00482E99">
        <w:rPr>
          <w:rFonts w:ascii="Times New Roman" w:hAnsi="Times New Roman" w:cs="Times New Roman"/>
          <w:sz w:val="24"/>
          <w:szCs w:val="24"/>
        </w:rPr>
        <w:t xml:space="preserve"> oraz by był</w:t>
      </w:r>
      <w:r w:rsidR="00EE74E8">
        <w:rPr>
          <w:rFonts w:ascii="Times New Roman" w:hAnsi="Times New Roman" w:cs="Times New Roman"/>
          <w:sz w:val="24"/>
          <w:szCs w:val="24"/>
        </w:rPr>
        <w:t>o</w:t>
      </w:r>
      <w:r w:rsidR="00482E99">
        <w:rPr>
          <w:rFonts w:ascii="Times New Roman" w:hAnsi="Times New Roman" w:cs="Times New Roman"/>
          <w:sz w:val="24"/>
          <w:szCs w:val="24"/>
        </w:rPr>
        <w:t xml:space="preserve"> możliwe zainicjowanie świadomego procesu spójnego kształtowania się obszaru funkcjonalnego </w:t>
      </w:r>
      <w:r w:rsidR="00C20E5C">
        <w:rPr>
          <w:rFonts w:ascii="Times New Roman" w:hAnsi="Times New Roman" w:cs="Times New Roman"/>
          <w:sz w:val="24"/>
          <w:szCs w:val="24"/>
        </w:rPr>
        <w:t xml:space="preserve">wokół </w:t>
      </w:r>
      <w:r w:rsidR="00482E99">
        <w:rPr>
          <w:rFonts w:ascii="Times New Roman" w:hAnsi="Times New Roman" w:cs="Times New Roman"/>
          <w:sz w:val="24"/>
          <w:szCs w:val="24"/>
        </w:rPr>
        <w:t>rdzenia OMGGS. Wtedy projekt metropolii sieciow</w:t>
      </w:r>
      <w:r w:rsidR="00051260">
        <w:rPr>
          <w:rFonts w:ascii="Times New Roman" w:hAnsi="Times New Roman" w:cs="Times New Roman"/>
          <w:sz w:val="24"/>
          <w:szCs w:val="24"/>
        </w:rPr>
        <w:t>ej zostanie domknięty zgodnie z </w:t>
      </w:r>
      <w:r w:rsidR="00482E99">
        <w:rPr>
          <w:rFonts w:ascii="Times New Roman" w:hAnsi="Times New Roman" w:cs="Times New Roman"/>
          <w:sz w:val="24"/>
          <w:szCs w:val="24"/>
        </w:rPr>
        <w:t>koncepcją zaprezentowaną w KPZK2030. Nie trzeba udowadniać, że przyspieszy to rozwój całego kraju</w:t>
      </w:r>
      <w:r w:rsidR="00051260">
        <w:rPr>
          <w:rFonts w:ascii="Times New Roman" w:hAnsi="Times New Roman" w:cs="Times New Roman"/>
          <w:sz w:val="24"/>
          <w:szCs w:val="24"/>
        </w:rPr>
        <w:t>,</w:t>
      </w:r>
      <w:r w:rsidR="00482E99">
        <w:rPr>
          <w:rFonts w:ascii="Times New Roman" w:hAnsi="Times New Roman" w:cs="Times New Roman"/>
          <w:sz w:val="24"/>
          <w:szCs w:val="24"/>
        </w:rPr>
        <w:t xml:space="preserve"> a nie tylko jej północnej części</w:t>
      </w:r>
      <w:r w:rsidR="00C20E5C">
        <w:rPr>
          <w:rFonts w:ascii="Times New Roman" w:hAnsi="Times New Roman" w:cs="Times New Roman"/>
          <w:sz w:val="24"/>
          <w:szCs w:val="24"/>
        </w:rPr>
        <w:t>,</w:t>
      </w:r>
      <w:r w:rsidR="0038316D">
        <w:rPr>
          <w:rFonts w:ascii="Times New Roman" w:hAnsi="Times New Roman" w:cs="Times New Roman"/>
          <w:sz w:val="24"/>
          <w:szCs w:val="24"/>
        </w:rPr>
        <w:t xml:space="preserve"> </w:t>
      </w:r>
      <w:r w:rsidR="00C20E5C">
        <w:rPr>
          <w:rFonts w:ascii="Times New Roman" w:hAnsi="Times New Roman" w:cs="Times New Roman"/>
          <w:sz w:val="24"/>
          <w:szCs w:val="24"/>
        </w:rPr>
        <w:t>gdyż</w:t>
      </w:r>
      <w:r w:rsidR="0098726B">
        <w:rPr>
          <w:rFonts w:ascii="Times New Roman" w:hAnsi="Times New Roman" w:cs="Times New Roman"/>
          <w:sz w:val="24"/>
          <w:szCs w:val="24"/>
        </w:rPr>
        <w:t xml:space="preserve"> na to wskazują liczne teorie ekonomiczne</w:t>
      </w:r>
      <w:r w:rsidR="00051260">
        <w:rPr>
          <w:rFonts w:ascii="Times New Roman" w:hAnsi="Times New Roman" w:cs="Times New Roman"/>
          <w:sz w:val="24"/>
          <w:szCs w:val="24"/>
        </w:rPr>
        <w:t>.</w:t>
      </w:r>
      <w:r w:rsidR="0098726B">
        <w:rPr>
          <w:rFonts w:ascii="Times New Roman" w:hAnsi="Times New Roman" w:cs="Times New Roman"/>
          <w:sz w:val="24"/>
          <w:szCs w:val="24"/>
        </w:rPr>
        <w:t xml:space="preserve"> w tym nowa geografia ekonomiczna</w:t>
      </w:r>
      <w:r w:rsidR="00482E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E5E38" w14:textId="77777777" w:rsidR="00E83B8A" w:rsidRPr="00E83B8A" w:rsidRDefault="00DB3777" w:rsidP="00E83B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stworzy możliwość domknięcia projektu metropolii sieciowej przez stworzenie spójnego obszaru metrop</w:t>
      </w:r>
      <w:r w:rsidR="00051260">
        <w:rPr>
          <w:rFonts w:ascii="Times New Roman" w:hAnsi="Times New Roman" w:cs="Times New Roman"/>
          <w:b/>
          <w:sz w:val="24"/>
          <w:szCs w:val="24"/>
        </w:rPr>
        <w:t xml:space="preserve">olitalnego w Polsce Północnej </w:t>
      </w:r>
      <w:r w:rsidR="00051260" w:rsidRPr="00247359">
        <w:rPr>
          <w:rFonts w:ascii="Times New Roman" w:hAnsi="Times New Roman" w:cs="Times New Roman"/>
          <w:b/>
          <w:bCs/>
          <w:sz w:val="24"/>
          <w:szCs w:val="24"/>
        </w:rPr>
        <w:t>i </w:t>
      </w:r>
      <w:r w:rsidRPr="00247359">
        <w:rPr>
          <w:rFonts w:ascii="Times New Roman" w:hAnsi="Times New Roman" w:cs="Times New Roman"/>
          <w:b/>
          <w:bCs/>
          <w:sz w:val="24"/>
          <w:szCs w:val="24"/>
        </w:rPr>
        <w:t>przyspieszy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rozwój całego kraju</w:t>
      </w:r>
      <w:r w:rsidR="00EE74E8">
        <w:rPr>
          <w:rFonts w:ascii="Times New Roman" w:hAnsi="Times New Roman" w:cs="Times New Roman"/>
          <w:sz w:val="24"/>
          <w:szCs w:val="24"/>
        </w:rPr>
        <w:t>.</w:t>
      </w:r>
    </w:p>
    <w:p w14:paraId="76B1837E" w14:textId="77777777" w:rsidR="0046621F" w:rsidRPr="00C20E5C" w:rsidRDefault="0046621F" w:rsidP="00495BEE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5C">
        <w:rPr>
          <w:rFonts w:ascii="Times New Roman" w:hAnsi="Times New Roman" w:cs="Times New Roman"/>
          <w:b/>
          <w:sz w:val="24"/>
          <w:szCs w:val="24"/>
        </w:rPr>
        <w:t>Domknięcie zarządzania wielo</w:t>
      </w:r>
      <w:r w:rsidR="0098726B" w:rsidRPr="00C20E5C">
        <w:rPr>
          <w:rFonts w:ascii="Times New Roman" w:hAnsi="Times New Roman" w:cs="Times New Roman"/>
          <w:b/>
          <w:sz w:val="24"/>
          <w:szCs w:val="24"/>
        </w:rPr>
        <w:t>poziomowego</w:t>
      </w:r>
      <w:r w:rsidRPr="00C20E5C">
        <w:rPr>
          <w:rFonts w:ascii="Times New Roman" w:hAnsi="Times New Roman" w:cs="Times New Roman"/>
          <w:b/>
          <w:sz w:val="24"/>
          <w:szCs w:val="24"/>
        </w:rPr>
        <w:t xml:space="preserve"> w Polsce</w:t>
      </w:r>
    </w:p>
    <w:p w14:paraId="130E5EAE" w14:textId="750672D5" w:rsidR="007B7389" w:rsidRDefault="00EE74E8" w:rsidP="00495B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Polsce brakuje szczebla samorządu terytorialnego odpowiedzialnego za rozwój obszarów metropolitalnych. 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 xml:space="preserve">W efekcie utrudniona jest identyfikacja, dyskusja nad potrzebnymi rozwiązaniami </w:t>
      </w:r>
      <w:r w:rsidR="00C20E5C" w:rsidRPr="00C20E5C">
        <w:rPr>
          <w:rFonts w:ascii="Times New Roman" w:hAnsi="Times New Roman" w:cs="Times New Roman"/>
          <w:sz w:val="24"/>
          <w:szCs w:val="24"/>
          <w:u w:val="single"/>
        </w:rPr>
        <w:t xml:space="preserve">problemów rozwojowych o specyfice metropolitalnej 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C20E5C" w:rsidRPr="00C20E5C">
        <w:rPr>
          <w:rFonts w:ascii="Times New Roman" w:hAnsi="Times New Roman" w:cs="Times New Roman"/>
          <w:sz w:val="24"/>
          <w:szCs w:val="24"/>
          <w:u w:val="single"/>
        </w:rPr>
        <w:t>sposobami ich wdrażania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45324">
        <w:rPr>
          <w:rFonts w:ascii="Times New Roman" w:hAnsi="Times New Roman" w:cs="Times New Roman"/>
          <w:sz w:val="24"/>
          <w:szCs w:val="24"/>
          <w:u w:val="single"/>
        </w:rPr>
        <w:t>Nie ma koordynacji polityk publicznych wobec metropolii. D</w:t>
      </w:r>
      <w:r w:rsidR="00495BEE" w:rsidRPr="00C20E5C">
        <w:rPr>
          <w:rFonts w:ascii="Times New Roman" w:hAnsi="Times New Roman" w:cs="Times New Roman"/>
          <w:sz w:val="24"/>
          <w:szCs w:val="24"/>
          <w:u w:val="single"/>
        </w:rPr>
        <w:t>ziałania</w:t>
      </w:r>
      <w:r w:rsidR="00247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5324">
        <w:rPr>
          <w:rFonts w:ascii="Times New Roman" w:hAnsi="Times New Roman" w:cs="Times New Roman"/>
          <w:sz w:val="24"/>
          <w:szCs w:val="24"/>
          <w:u w:val="single"/>
        </w:rPr>
        <w:t xml:space="preserve">prowadzone w tym zakresie 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>maj</w:t>
      </w:r>
      <w:r w:rsidR="00495BEE" w:rsidRPr="00C20E5C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247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5324">
        <w:rPr>
          <w:rFonts w:ascii="Times New Roman" w:hAnsi="Times New Roman" w:cs="Times New Roman"/>
          <w:sz w:val="24"/>
          <w:szCs w:val="24"/>
          <w:u w:val="single"/>
        </w:rPr>
        <w:t xml:space="preserve">często 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>niesystemowy i uznaniowy charakter, nie s</w:t>
      </w:r>
      <w:r w:rsidR="00495BEE" w:rsidRPr="00C20E5C">
        <w:rPr>
          <w:rFonts w:ascii="Times New Roman" w:hAnsi="Times New Roman" w:cs="Times New Roman"/>
          <w:sz w:val="24"/>
          <w:szCs w:val="24"/>
          <w:u w:val="single"/>
        </w:rPr>
        <w:t>ą</w:t>
      </w:r>
      <w:r w:rsidRPr="00C20E5C">
        <w:rPr>
          <w:rFonts w:ascii="Times New Roman" w:hAnsi="Times New Roman" w:cs="Times New Roman"/>
          <w:sz w:val="24"/>
          <w:szCs w:val="24"/>
          <w:u w:val="single"/>
        </w:rPr>
        <w:t xml:space="preserve"> ugruntowane w polskich rozwiązaniach prawnych</w:t>
      </w:r>
      <w:r w:rsidR="00495BEE" w:rsidRPr="00C20E5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95BEE" w:rsidRPr="00145324">
        <w:rPr>
          <w:rFonts w:ascii="Times New Roman" w:hAnsi="Times New Roman" w:cs="Times New Roman"/>
          <w:sz w:val="24"/>
          <w:szCs w:val="24"/>
        </w:rPr>
        <w:t>Nawet Zintegrowane Inwestycje Terytorialne</w:t>
      </w:r>
      <w:r w:rsidR="001204BE" w:rsidRPr="00145324">
        <w:rPr>
          <w:rFonts w:ascii="Times New Roman" w:hAnsi="Times New Roman" w:cs="Times New Roman"/>
          <w:sz w:val="24"/>
          <w:szCs w:val="24"/>
        </w:rPr>
        <w:t xml:space="preserve"> (ZIT)</w:t>
      </w:r>
      <w:r w:rsidR="00495BEE" w:rsidRPr="00145324">
        <w:rPr>
          <w:rFonts w:ascii="Times New Roman" w:hAnsi="Times New Roman" w:cs="Times New Roman"/>
          <w:sz w:val="24"/>
          <w:szCs w:val="24"/>
        </w:rPr>
        <w:t xml:space="preserve"> odnoszą się do wycinka problemów o charakterze metropolitalnym</w:t>
      </w:r>
      <w:r w:rsidR="0014532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95BEE">
        <w:rPr>
          <w:rFonts w:ascii="Times New Roman" w:hAnsi="Times New Roman" w:cs="Times New Roman"/>
          <w:sz w:val="24"/>
          <w:szCs w:val="24"/>
        </w:rPr>
        <w:t xml:space="preserve"> na co wskazał ESPON </w:t>
      </w:r>
      <w:r w:rsidR="00C20E5C">
        <w:rPr>
          <w:rFonts w:ascii="Times New Roman" w:hAnsi="Times New Roman" w:cs="Times New Roman"/>
          <w:sz w:val="24"/>
          <w:szCs w:val="24"/>
        </w:rPr>
        <w:t>(2021)</w:t>
      </w:r>
      <w:r w:rsidR="00495BEE">
        <w:rPr>
          <w:rFonts w:ascii="Times New Roman" w:hAnsi="Times New Roman" w:cs="Times New Roman"/>
          <w:sz w:val="24"/>
          <w:szCs w:val="24"/>
        </w:rPr>
        <w:t xml:space="preserve">. 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Ponieważ </w:t>
      </w:r>
      <w:r w:rsidR="001204BE">
        <w:rPr>
          <w:rFonts w:ascii="Times New Roman" w:hAnsi="Times New Roman" w:cs="Times New Roman"/>
          <w:sz w:val="24"/>
          <w:szCs w:val="24"/>
        </w:rPr>
        <w:t xml:space="preserve">instrument 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ZIT jest jedynym instrumentem </w:t>
      </w:r>
      <w:r w:rsidR="00A67515">
        <w:rPr>
          <w:rFonts w:ascii="Times New Roman" w:hAnsi="Times New Roman" w:cs="Times New Roman"/>
          <w:sz w:val="24"/>
          <w:szCs w:val="24"/>
        </w:rPr>
        <w:t xml:space="preserve">przeznaczonym 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A67515">
        <w:rPr>
          <w:rFonts w:ascii="Times New Roman" w:hAnsi="Times New Roman" w:cs="Times New Roman"/>
          <w:sz w:val="24"/>
          <w:szCs w:val="24"/>
        </w:rPr>
        <w:t xml:space="preserve">na </w:t>
      </w:r>
      <w:r w:rsidR="001204BE" w:rsidRPr="001204BE">
        <w:rPr>
          <w:rFonts w:ascii="Times New Roman" w:hAnsi="Times New Roman" w:cs="Times New Roman"/>
          <w:sz w:val="24"/>
          <w:szCs w:val="24"/>
        </w:rPr>
        <w:t>potrzeb</w:t>
      </w:r>
      <w:r w:rsidR="00A67515">
        <w:rPr>
          <w:rFonts w:ascii="Times New Roman" w:hAnsi="Times New Roman" w:cs="Times New Roman"/>
          <w:sz w:val="24"/>
          <w:szCs w:val="24"/>
        </w:rPr>
        <w:t>y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 OMGGS, </w:t>
      </w:r>
      <w:r w:rsidR="005E72C4" w:rsidRPr="001204BE">
        <w:rPr>
          <w:rFonts w:ascii="Times New Roman" w:hAnsi="Times New Roman" w:cs="Times New Roman"/>
          <w:sz w:val="24"/>
          <w:szCs w:val="24"/>
        </w:rPr>
        <w:t>pochłon</w:t>
      </w:r>
      <w:r w:rsidR="005E72C4">
        <w:rPr>
          <w:rFonts w:ascii="Times New Roman" w:hAnsi="Times New Roman" w:cs="Times New Roman"/>
          <w:sz w:val="24"/>
          <w:szCs w:val="24"/>
        </w:rPr>
        <w:t>ął</w:t>
      </w:r>
      <w:r w:rsidR="001204BE">
        <w:rPr>
          <w:rFonts w:ascii="Times New Roman" w:hAnsi="Times New Roman" w:cs="Times New Roman"/>
          <w:sz w:val="24"/>
          <w:szCs w:val="24"/>
        </w:rPr>
        <w:t xml:space="preserve"> on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 prawie cały potencjał instytucjonalny Stowarzyszenia OMGGS</w:t>
      </w:r>
      <w:r w:rsidR="00A67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1204BE" w:rsidRPr="001204BE">
        <w:rPr>
          <w:rFonts w:ascii="Times New Roman" w:hAnsi="Times New Roman" w:cs="Times New Roman"/>
          <w:sz w:val="24"/>
          <w:szCs w:val="24"/>
        </w:rPr>
        <w:t>, a także zdominowało podejście do ustalania ogólnych celów OMGGS</w:t>
      </w:r>
      <w:r w:rsidR="000E7E35">
        <w:rPr>
          <w:rFonts w:ascii="Times New Roman" w:hAnsi="Times New Roman" w:cs="Times New Roman"/>
          <w:sz w:val="24"/>
          <w:szCs w:val="24"/>
        </w:rPr>
        <w:t xml:space="preserve"> (w okresie objętym analizą ESPON)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. </w:t>
      </w:r>
      <w:r w:rsidR="00495BEE">
        <w:rPr>
          <w:rFonts w:ascii="Times New Roman" w:hAnsi="Times New Roman" w:cs="Times New Roman"/>
          <w:sz w:val="24"/>
          <w:szCs w:val="24"/>
        </w:rPr>
        <w:t xml:space="preserve">To wszystko </w:t>
      </w:r>
      <w:r w:rsidR="00145324">
        <w:rPr>
          <w:rFonts w:ascii="Times New Roman" w:hAnsi="Times New Roman" w:cs="Times New Roman"/>
          <w:sz w:val="24"/>
          <w:szCs w:val="24"/>
        </w:rPr>
        <w:t xml:space="preserve">oznacza </w:t>
      </w:r>
      <w:r>
        <w:rPr>
          <w:rFonts w:ascii="Times New Roman" w:hAnsi="Times New Roman" w:cs="Times New Roman"/>
          <w:sz w:val="24"/>
          <w:szCs w:val="24"/>
        </w:rPr>
        <w:t xml:space="preserve"> deficyt w zakresie wielo</w:t>
      </w:r>
      <w:r w:rsidR="005E72C4">
        <w:rPr>
          <w:rFonts w:ascii="Times New Roman" w:hAnsi="Times New Roman" w:cs="Times New Roman"/>
          <w:sz w:val="24"/>
          <w:szCs w:val="24"/>
        </w:rPr>
        <w:t>poziomowego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="00495BEE">
        <w:rPr>
          <w:rFonts w:ascii="Times New Roman" w:hAnsi="Times New Roman" w:cs="Times New Roman"/>
          <w:sz w:val="24"/>
          <w:szCs w:val="24"/>
        </w:rPr>
        <w:t>zarządzania</w:t>
      </w:r>
      <w:r>
        <w:rPr>
          <w:rFonts w:ascii="Times New Roman" w:hAnsi="Times New Roman" w:cs="Times New Roman"/>
          <w:sz w:val="24"/>
          <w:szCs w:val="24"/>
        </w:rPr>
        <w:t xml:space="preserve"> w naszym kraju. </w:t>
      </w:r>
      <w:r w:rsidR="00495BEE">
        <w:rPr>
          <w:rFonts w:ascii="Times New Roman" w:hAnsi="Times New Roman" w:cs="Times New Roman"/>
          <w:sz w:val="24"/>
          <w:szCs w:val="24"/>
        </w:rPr>
        <w:t>Skoro te problemy są adresowane w opisany powyżej sposób</w:t>
      </w:r>
      <w:r w:rsidR="00051260">
        <w:rPr>
          <w:rFonts w:ascii="Times New Roman" w:hAnsi="Times New Roman" w:cs="Times New Roman"/>
          <w:sz w:val="24"/>
          <w:szCs w:val="24"/>
        </w:rPr>
        <w:t>,</w:t>
      </w:r>
      <w:r w:rsidR="00495BEE">
        <w:rPr>
          <w:rFonts w:ascii="Times New Roman" w:hAnsi="Times New Roman" w:cs="Times New Roman"/>
          <w:sz w:val="24"/>
          <w:szCs w:val="24"/>
        </w:rPr>
        <w:t xml:space="preserve"> </w:t>
      </w:r>
      <w:r w:rsidR="00495BEE" w:rsidRPr="00A67515">
        <w:rPr>
          <w:rFonts w:ascii="Times New Roman" w:hAnsi="Times New Roman" w:cs="Times New Roman"/>
          <w:sz w:val="24"/>
          <w:szCs w:val="24"/>
          <w:u w:val="single"/>
        </w:rPr>
        <w:t>skutkuje to marnotrawstwem środków finansowych i suboptymalnymi rezultatami</w:t>
      </w:r>
      <w:r w:rsidR="00495BEE">
        <w:rPr>
          <w:rFonts w:ascii="Times New Roman" w:hAnsi="Times New Roman" w:cs="Times New Roman"/>
          <w:sz w:val="24"/>
          <w:szCs w:val="24"/>
        </w:rPr>
        <w:t xml:space="preserve">. </w:t>
      </w:r>
      <w:r w:rsidR="007B7389">
        <w:rPr>
          <w:rFonts w:ascii="Times New Roman" w:hAnsi="Times New Roman" w:cs="Times New Roman"/>
          <w:sz w:val="24"/>
          <w:szCs w:val="24"/>
        </w:rPr>
        <w:t>Trudno byłoby to zmienić bez</w:t>
      </w:r>
      <w:r w:rsidR="00495BEE">
        <w:rPr>
          <w:rFonts w:ascii="Times New Roman" w:hAnsi="Times New Roman" w:cs="Times New Roman"/>
          <w:sz w:val="24"/>
          <w:szCs w:val="24"/>
        </w:rPr>
        <w:t xml:space="preserve"> wprowadzenie do </w:t>
      </w:r>
      <w:r w:rsidR="007B7389">
        <w:rPr>
          <w:rFonts w:ascii="Times New Roman" w:hAnsi="Times New Roman" w:cs="Times New Roman"/>
          <w:sz w:val="24"/>
          <w:szCs w:val="24"/>
        </w:rPr>
        <w:t xml:space="preserve">krajowego </w:t>
      </w:r>
      <w:r w:rsidR="00495BEE">
        <w:rPr>
          <w:rFonts w:ascii="Times New Roman" w:hAnsi="Times New Roman" w:cs="Times New Roman"/>
          <w:sz w:val="24"/>
          <w:szCs w:val="24"/>
        </w:rPr>
        <w:t>modelu wielo</w:t>
      </w:r>
      <w:r w:rsidR="007B7389">
        <w:rPr>
          <w:rFonts w:ascii="Times New Roman" w:hAnsi="Times New Roman" w:cs="Times New Roman"/>
          <w:sz w:val="24"/>
          <w:szCs w:val="24"/>
        </w:rPr>
        <w:t>poziomowego</w:t>
      </w:r>
      <w:r w:rsidR="00495BEE">
        <w:rPr>
          <w:rFonts w:ascii="Times New Roman" w:hAnsi="Times New Roman" w:cs="Times New Roman"/>
          <w:sz w:val="24"/>
          <w:szCs w:val="24"/>
        </w:rPr>
        <w:t xml:space="preserve"> zarządzania </w:t>
      </w:r>
      <w:r w:rsidR="007B7389">
        <w:rPr>
          <w:rFonts w:ascii="Times New Roman" w:hAnsi="Times New Roman" w:cs="Times New Roman"/>
          <w:sz w:val="24"/>
          <w:szCs w:val="24"/>
        </w:rPr>
        <w:t xml:space="preserve">szczebla </w:t>
      </w:r>
      <w:r w:rsidR="00495BEE">
        <w:rPr>
          <w:rFonts w:ascii="Times New Roman" w:hAnsi="Times New Roman" w:cs="Times New Roman"/>
          <w:sz w:val="24"/>
          <w:szCs w:val="24"/>
        </w:rPr>
        <w:t>metropolitalnego</w:t>
      </w:r>
      <w:r w:rsidR="007B7389">
        <w:rPr>
          <w:rFonts w:ascii="Times New Roman" w:hAnsi="Times New Roman" w:cs="Times New Roman"/>
          <w:sz w:val="24"/>
          <w:szCs w:val="24"/>
        </w:rPr>
        <w:t>. F</w:t>
      </w:r>
      <w:r w:rsidR="00495BEE">
        <w:rPr>
          <w:rFonts w:ascii="Times New Roman" w:hAnsi="Times New Roman" w:cs="Times New Roman"/>
          <w:sz w:val="24"/>
          <w:szCs w:val="24"/>
        </w:rPr>
        <w:t xml:space="preserve">ormalizacja OMGGS jest właściwym krokiem w tym kierunku. </w:t>
      </w:r>
      <w:r w:rsidR="00084AF6">
        <w:rPr>
          <w:rFonts w:ascii="Times New Roman" w:hAnsi="Times New Roman" w:cs="Times New Roman"/>
          <w:sz w:val="24"/>
          <w:szCs w:val="24"/>
        </w:rPr>
        <w:t xml:space="preserve">Projekt ESPON METRO </w:t>
      </w:r>
      <w:r w:rsidR="00A67515">
        <w:rPr>
          <w:rFonts w:ascii="Times New Roman" w:hAnsi="Times New Roman" w:cs="Times New Roman"/>
          <w:sz w:val="24"/>
          <w:szCs w:val="24"/>
        </w:rPr>
        <w:t xml:space="preserve">(ESON 2021) </w:t>
      </w:r>
      <w:r w:rsidR="001204BE">
        <w:rPr>
          <w:rFonts w:ascii="Times New Roman" w:hAnsi="Times New Roman" w:cs="Times New Roman"/>
          <w:sz w:val="24"/>
          <w:szCs w:val="24"/>
        </w:rPr>
        <w:t>rekomendował</w:t>
      </w:r>
      <w:r w:rsidR="00051260">
        <w:rPr>
          <w:rFonts w:ascii="Times New Roman" w:hAnsi="Times New Roman" w:cs="Times New Roman"/>
          <w:sz w:val="24"/>
          <w:szCs w:val="24"/>
        </w:rPr>
        <w:t xml:space="preserve"> </w:t>
      </w:r>
      <w:r w:rsidR="001204BE" w:rsidRPr="001204BE">
        <w:rPr>
          <w:rFonts w:ascii="Times New Roman" w:hAnsi="Times New Roman" w:cs="Times New Roman"/>
          <w:sz w:val="24"/>
          <w:szCs w:val="24"/>
        </w:rPr>
        <w:t xml:space="preserve">bardziej adekwatne umiejscowienie OMGGS w wielopoziomowej strukturze zarządzania w Polsce (zmiany w ustawodawstwie </w:t>
      </w:r>
      <w:r w:rsidR="001204BE" w:rsidRPr="003A1E2C">
        <w:rPr>
          <w:rFonts w:ascii="Times New Roman" w:hAnsi="Times New Roman" w:cs="Times New Roman"/>
          <w:sz w:val="24"/>
          <w:szCs w:val="24"/>
        </w:rPr>
        <w:t xml:space="preserve">krajowym). </w:t>
      </w:r>
    </w:p>
    <w:p w14:paraId="2952EDE3" w14:textId="58959B2E" w:rsidR="001204BE" w:rsidRDefault="001204BE" w:rsidP="00495B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1E2C">
        <w:rPr>
          <w:rFonts w:ascii="Times New Roman" w:hAnsi="Times New Roman" w:cs="Times New Roman"/>
          <w:sz w:val="24"/>
          <w:szCs w:val="24"/>
        </w:rPr>
        <w:lastRenderedPageBreak/>
        <w:t xml:space="preserve">Problemy, które powinny być rozwiązywane </w:t>
      </w:r>
      <w:r w:rsidR="005E72C4" w:rsidRPr="003A1E2C">
        <w:rPr>
          <w:rFonts w:ascii="Times New Roman" w:hAnsi="Times New Roman" w:cs="Times New Roman"/>
          <w:sz w:val="24"/>
          <w:szCs w:val="24"/>
        </w:rPr>
        <w:t>na poziomie metropolii</w:t>
      </w:r>
      <w:r w:rsidRPr="003A1E2C">
        <w:rPr>
          <w:rFonts w:ascii="Times New Roman" w:hAnsi="Times New Roman" w:cs="Times New Roman"/>
          <w:sz w:val="24"/>
          <w:szCs w:val="24"/>
        </w:rPr>
        <w:t xml:space="preserve"> s</w:t>
      </w:r>
      <w:r w:rsidR="005E72C4" w:rsidRPr="003A1E2C">
        <w:rPr>
          <w:rFonts w:ascii="Times New Roman" w:hAnsi="Times New Roman" w:cs="Times New Roman"/>
          <w:sz w:val="24"/>
          <w:szCs w:val="24"/>
        </w:rPr>
        <w:t>ą</w:t>
      </w:r>
      <w:r w:rsidRPr="003A1E2C">
        <w:rPr>
          <w:rFonts w:ascii="Times New Roman" w:hAnsi="Times New Roman" w:cs="Times New Roman"/>
          <w:sz w:val="24"/>
          <w:szCs w:val="24"/>
        </w:rPr>
        <w:t xml:space="preserve"> liczne. </w:t>
      </w:r>
      <w:r w:rsidR="00CA3D59" w:rsidRPr="003A1E2C">
        <w:rPr>
          <w:rFonts w:ascii="Times New Roman" w:hAnsi="Times New Roman" w:cs="Times New Roman"/>
          <w:sz w:val="24"/>
          <w:szCs w:val="24"/>
        </w:rPr>
        <w:t>Wśród nich na pierwszym miejscu pojawia się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="00CA3D59" w:rsidRPr="003A1E2C">
        <w:rPr>
          <w:rFonts w:ascii="Times New Roman" w:hAnsi="Times New Roman" w:cs="Times New Roman"/>
          <w:sz w:val="24"/>
          <w:szCs w:val="24"/>
        </w:rPr>
        <w:t xml:space="preserve">polityka rozwoju, </w:t>
      </w:r>
      <w:r w:rsidR="00CA3D59" w:rsidRPr="003A1E2C">
        <w:rPr>
          <w:rFonts w:ascii="Times New Roman" w:eastAsia="Lato" w:hAnsi="Times New Roman" w:cs="Times New Roman"/>
          <w:sz w:val="24"/>
          <w:szCs w:val="24"/>
        </w:rPr>
        <w:t>kształtowania ładu przestrzennego</w:t>
      </w:r>
      <w:r w:rsidRPr="003A1E2C">
        <w:rPr>
          <w:rFonts w:ascii="Times New Roman" w:hAnsi="Times New Roman" w:cs="Times New Roman"/>
          <w:sz w:val="24"/>
          <w:szCs w:val="24"/>
        </w:rPr>
        <w:t>, komunikacja publiczna czy wzmacnianie wiedzy.</w:t>
      </w:r>
      <w:r>
        <w:rPr>
          <w:rFonts w:ascii="Times New Roman" w:hAnsi="Times New Roman" w:cs="Times New Roman"/>
          <w:sz w:val="24"/>
          <w:szCs w:val="24"/>
        </w:rPr>
        <w:t xml:space="preserve"> Są to kwestie oczywiste. </w:t>
      </w:r>
      <w:r w:rsidR="005327B4">
        <w:rPr>
          <w:rFonts w:ascii="Times New Roman" w:hAnsi="Times New Roman" w:cs="Times New Roman"/>
          <w:sz w:val="24"/>
          <w:szCs w:val="24"/>
        </w:rPr>
        <w:t xml:space="preserve">Doświadczenie innych metropolii wskazuje także na korzyści z integracji </w:t>
      </w:r>
      <w:r w:rsidR="005327B4" w:rsidRPr="005327B4">
        <w:rPr>
          <w:rFonts w:ascii="Times New Roman" w:hAnsi="Times New Roman" w:cs="Times New Roman"/>
          <w:sz w:val="24"/>
          <w:szCs w:val="24"/>
        </w:rPr>
        <w:t>na poziomie metropolitalnym</w:t>
      </w:r>
      <w:r w:rsidR="005327B4">
        <w:rPr>
          <w:rFonts w:ascii="Times New Roman" w:hAnsi="Times New Roman" w:cs="Times New Roman"/>
          <w:sz w:val="24"/>
          <w:szCs w:val="24"/>
        </w:rPr>
        <w:t xml:space="preserve"> inwestycji </w:t>
      </w:r>
      <w:r w:rsidR="005327B4" w:rsidRPr="005327B4">
        <w:rPr>
          <w:rFonts w:ascii="Times New Roman" w:hAnsi="Times New Roman" w:cs="Times New Roman"/>
          <w:sz w:val="24"/>
          <w:szCs w:val="24"/>
        </w:rPr>
        <w:t>w infras</w:t>
      </w:r>
      <w:r w:rsidR="005327B4">
        <w:rPr>
          <w:rFonts w:ascii="Times New Roman" w:hAnsi="Times New Roman" w:cs="Times New Roman"/>
          <w:sz w:val="24"/>
          <w:szCs w:val="24"/>
        </w:rPr>
        <w:t xml:space="preserve">trukturę transportową i cyfrową. </w:t>
      </w:r>
      <w:r>
        <w:rPr>
          <w:rFonts w:ascii="Times New Roman" w:hAnsi="Times New Roman" w:cs="Times New Roman"/>
          <w:sz w:val="24"/>
          <w:szCs w:val="24"/>
        </w:rPr>
        <w:t xml:space="preserve">Jednak analizy projektu ESPON METRO </w:t>
      </w:r>
      <w:r w:rsidR="00A67515">
        <w:rPr>
          <w:rFonts w:ascii="Times New Roman" w:hAnsi="Times New Roman" w:cs="Times New Roman"/>
          <w:sz w:val="24"/>
          <w:szCs w:val="24"/>
        </w:rPr>
        <w:t xml:space="preserve">(ESPON 2021) </w:t>
      </w:r>
      <w:r>
        <w:rPr>
          <w:rFonts w:ascii="Times New Roman" w:hAnsi="Times New Roman" w:cs="Times New Roman"/>
          <w:sz w:val="24"/>
          <w:szCs w:val="24"/>
        </w:rPr>
        <w:t xml:space="preserve">wskazują na potrzebę </w:t>
      </w:r>
      <w:r w:rsidRPr="001204BE">
        <w:rPr>
          <w:rFonts w:ascii="Times New Roman" w:hAnsi="Times New Roman" w:cs="Times New Roman"/>
          <w:sz w:val="24"/>
          <w:szCs w:val="24"/>
        </w:rPr>
        <w:t xml:space="preserve"> przygotowani</w:t>
      </w:r>
      <w:r w:rsidR="00051260">
        <w:rPr>
          <w:rFonts w:ascii="Times New Roman" w:hAnsi="Times New Roman" w:cs="Times New Roman"/>
          <w:sz w:val="24"/>
          <w:szCs w:val="24"/>
        </w:rPr>
        <w:t>a</w:t>
      </w:r>
      <w:r w:rsidRPr="001204BE">
        <w:rPr>
          <w:rFonts w:ascii="Times New Roman" w:hAnsi="Times New Roman" w:cs="Times New Roman"/>
          <w:sz w:val="24"/>
          <w:szCs w:val="24"/>
        </w:rPr>
        <w:t xml:space="preserve"> planów działania OMGGS </w:t>
      </w:r>
      <w:r w:rsidRPr="001204BE">
        <w:rPr>
          <w:rFonts w:ascii="Times New Roman" w:hAnsi="Times New Roman" w:cs="Times New Roman"/>
          <w:sz w:val="24"/>
          <w:szCs w:val="24"/>
          <w:u w:val="single"/>
        </w:rPr>
        <w:t xml:space="preserve">w takich obszarach jak: </w:t>
      </w:r>
      <w:r w:rsidR="007F5D77">
        <w:rPr>
          <w:rFonts w:ascii="Times New Roman" w:hAnsi="Times New Roman" w:cs="Times New Roman"/>
          <w:sz w:val="24"/>
          <w:szCs w:val="24"/>
          <w:u w:val="single"/>
        </w:rPr>
        <w:t xml:space="preserve">szeroko rozumiana </w:t>
      </w:r>
      <w:r w:rsidRPr="001204BE">
        <w:rPr>
          <w:rFonts w:ascii="Times New Roman" w:hAnsi="Times New Roman" w:cs="Times New Roman"/>
          <w:sz w:val="24"/>
          <w:szCs w:val="24"/>
          <w:u w:val="single"/>
        </w:rPr>
        <w:t>mobilność, zielona infrastruktura, gospodarka odpadami, zarządzanie energią</w:t>
      </w:r>
      <w:r w:rsidR="007F5D77">
        <w:rPr>
          <w:rFonts w:ascii="Times New Roman" w:hAnsi="Times New Roman" w:cs="Times New Roman"/>
          <w:sz w:val="24"/>
          <w:szCs w:val="24"/>
          <w:u w:val="single"/>
        </w:rPr>
        <w:t xml:space="preserve"> czy </w:t>
      </w:r>
      <w:r w:rsidR="00051260">
        <w:rPr>
          <w:rFonts w:ascii="Times New Roman" w:hAnsi="Times New Roman" w:cs="Times New Roman"/>
          <w:sz w:val="24"/>
          <w:szCs w:val="24"/>
          <w:u w:val="single"/>
        </w:rPr>
        <w:t>mieszkalnictwo</w:t>
      </w:r>
      <w:r w:rsidR="007F5D77" w:rsidRPr="00120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04BE">
        <w:rPr>
          <w:rFonts w:ascii="Times New Roman" w:hAnsi="Times New Roman" w:cs="Times New Roman"/>
          <w:sz w:val="24"/>
          <w:szCs w:val="24"/>
        </w:rPr>
        <w:t>w celu lepszej koordynacji l</w:t>
      </w:r>
      <w:r w:rsidR="00051260">
        <w:rPr>
          <w:rFonts w:ascii="Times New Roman" w:hAnsi="Times New Roman" w:cs="Times New Roman"/>
          <w:sz w:val="24"/>
          <w:szCs w:val="24"/>
        </w:rPr>
        <w:t>okalnych polityk i instrumentów</w:t>
      </w:r>
      <w:r w:rsidRPr="001204BE">
        <w:rPr>
          <w:rFonts w:ascii="Times New Roman" w:hAnsi="Times New Roman" w:cs="Times New Roman"/>
          <w:sz w:val="24"/>
          <w:szCs w:val="24"/>
        </w:rPr>
        <w:t xml:space="preserve"> przy jednoczesnym budowaniu potencjału instytucjonalnego dla programów </w:t>
      </w:r>
      <w:r>
        <w:rPr>
          <w:rFonts w:ascii="Times New Roman" w:hAnsi="Times New Roman" w:cs="Times New Roman"/>
          <w:sz w:val="24"/>
          <w:szCs w:val="24"/>
        </w:rPr>
        <w:t xml:space="preserve">Polityki </w:t>
      </w:r>
      <w:r w:rsidR="005E72C4">
        <w:rPr>
          <w:rFonts w:ascii="Times New Roman" w:hAnsi="Times New Roman" w:cs="Times New Roman"/>
          <w:sz w:val="24"/>
          <w:szCs w:val="24"/>
        </w:rPr>
        <w:t>Spójności</w:t>
      </w:r>
      <w:r>
        <w:rPr>
          <w:rFonts w:ascii="Times New Roman" w:hAnsi="Times New Roman" w:cs="Times New Roman"/>
          <w:sz w:val="24"/>
          <w:szCs w:val="24"/>
        </w:rPr>
        <w:t xml:space="preserve"> EU</w:t>
      </w:r>
      <w:r w:rsidRPr="001204BE">
        <w:rPr>
          <w:rFonts w:ascii="Times New Roman" w:hAnsi="Times New Roman" w:cs="Times New Roman"/>
          <w:sz w:val="24"/>
          <w:szCs w:val="24"/>
        </w:rPr>
        <w:t xml:space="preserve"> nowej generacji.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="00CA3D59">
        <w:rPr>
          <w:rFonts w:ascii="Times New Roman" w:hAnsi="Times New Roman" w:cs="Times New Roman"/>
          <w:sz w:val="24"/>
          <w:szCs w:val="24"/>
        </w:rPr>
        <w:t xml:space="preserve">Części z nich </w:t>
      </w:r>
      <w:r w:rsidR="007F5D77">
        <w:rPr>
          <w:rFonts w:ascii="Times New Roman" w:hAnsi="Times New Roman" w:cs="Times New Roman"/>
          <w:sz w:val="24"/>
          <w:szCs w:val="24"/>
        </w:rPr>
        <w:t xml:space="preserve">(tych wymienionych na końcu wyliczenia) </w:t>
      </w:r>
      <w:r w:rsidR="00CA3D59">
        <w:rPr>
          <w:rFonts w:ascii="Times New Roman" w:hAnsi="Times New Roman" w:cs="Times New Roman"/>
          <w:sz w:val="24"/>
          <w:szCs w:val="24"/>
        </w:rPr>
        <w:t xml:space="preserve">brakuje w przywołanym już projekcie ustawy. </w:t>
      </w:r>
    </w:p>
    <w:p w14:paraId="6D7CEB8A" w14:textId="77777777" w:rsidR="00965270" w:rsidRPr="00965270" w:rsidRDefault="00965270" w:rsidP="00965270">
      <w:pPr>
        <w:spacing w:after="160" w:line="256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Przeniesienie polityk publicznych na szczebel metropolitalny przyniesie także korzyści fiskalne dla budżetu publicznego. </w:t>
      </w:r>
      <w:r w:rsidRPr="00965270">
        <w:rPr>
          <w:rFonts w:ascii="Times New Roman" w:eastAsia="Times New Roman" w:hAnsi="Times New Roman" w:cs="Times New Roman"/>
          <w:sz w:val="24"/>
          <w:szCs w:val="24"/>
          <w:lang w:eastAsia="pl-PL"/>
        </w:rPr>
        <w:t>Autonomia fiskalna mogłaby zwiększyć efektywność zarządzania projektami na skalę metropolitalną i zmniejszyć zależność od rozproszonych budżetów lokalnych (Tiebout, 1956). Jednocześnie powinna pozwolić na redukcj</w:t>
      </w:r>
      <w:r w:rsidR="0005126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6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(korzyści skali) poprzez koordynację zakupów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6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wykorzystanie korzyści skali (spadek kosztu jednostkowego) oraz wzrost siły przetargowej</w:t>
      </w:r>
      <w:r w:rsid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publicznej</w:t>
      </w:r>
      <w:r w:rsidRPr="0096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64F14F" w14:textId="77777777" w:rsidR="001D0EBD" w:rsidRPr="00E83B8A" w:rsidRDefault="00DB3777" w:rsidP="00965270">
      <w:pPr>
        <w:spacing w:after="16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3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TEZA: formalizacja OMGGS ułatwi  domknięcie procesu zarządzania wielopoziomowego w Polsce i bardziej precyzyjne adresowanie kwestii </w:t>
      </w:r>
      <w:r w:rsidR="000E7E35">
        <w:rPr>
          <w:rFonts w:ascii="Times New Roman" w:hAnsi="Times New Roman" w:cs="Times New Roman"/>
          <w:b/>
          <w:sz w:val="24"/>
          <w:szCs w:val="24"/>
        </w:rPr>
        <w:br/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o metropolitalnej specyfice(np. integracji na poziomie metropolitalnym inwestycji </w:t>
      </w:r>
      <w:r w:rsidR="000E7E35">
        <w:rPr>
          <w:rFonts w:ascii="Times New Roman" w:hAnsi="Times New Roman" w:cs="Times New Roman"/>
          <w:b/>
          <w:sz w:val="24"/>
          <w:szCs w:val="24"/>
        </w:rPr>
        <w:br/>
      </w:r>
      <w:r w:rsidRPr="00DB3777">
        <w:rPr>
          <w:rFonts w:ascii="Times New Roman" w:hAnsi="Times New Roman" w:cs="Times New Roman"/>
          <w:b/>
          <w:sz w:val="24"/>
          <w:szCs w:val="24"/>
        </w:rPr>
        <w:t>w infrastrukturę transportową i cyfrową), co będzie z k</w:t>
      </w:r>
      <w:r w:rsidR="00051260">
        <w:rPr>
          <w:rFonts w:ascii="Times New Roman" w:hAnsi="Times New Roman" w:cs="Times New Roman"/>
          <w:b/>
          <w:sz w:val="24"/>
          <w:szCs w:val="24"/>
        </w:rPr>
        <w:t>o</w:t>
      </w:r>
      <w:r w:rsidRPr="00DB3777">
        <w:rPr>
          <w:rFonts w:ascii="Times New Roman" w:hAnsi="Times New Roman" w:cs="Times New Roman"/>
          <w:b/>
          <w:sz w:val="24"/>
          <w:szCs w:val="24"/>
        </w:rPr>
        <w:t>lei skutkować oszczędnościami funduszy publicznych</w:t>
      </w:r>
      <w:r w:rsidR="001D0EBD">
        <w:rPr>
          <w:rFonts w:ascii="Times New Roman" w:hAnsi="Times New Roman" w:cs="Times New Roman"/>
          <w:sz w:val="24"/>
          <w:szCs w:val="24"/>
        </w:rPr>
        <w:t>.</w:t>
      </w:r>
    </w:p>
    <w:p w14:paraId="778A5E5B" w14:textId="77777777" w:rsidR="002819CB" w:rsidRPr="003E448D" w:rsidRDefault="002819CB" w:rsidP="00281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8D">
        <w:rPr>
          <w:rFonts w:ascii="Times New Roman" w:hAnsi="Times New Roman" w:cs="Times New Roman"/>
          <w:b/>
          <w:sz w:val="24"/>
          <w:szCs w:val="24"/>
        </w:rPr>
        <w:t xml:space="preserve">KORZYSCI </w:t>
      </w:r>
      <w:r w:rsidR="00EE10BE" w:rsidRPr="003E448D">
        <w:rPr>
          <w:rFonts w:ascii="Times New Roman" w:hAnsi="Times New Roman" w:cs="Times New Roman"/>
          <w:b/>
          <w:sz w:val="24"/>
          <w:szCs w:val="24"/>
        </w:rPr>
        <w:t xml:space="preserve">dla Polski </w:t>
      </w:r>
      <w:r w:rsidRPr="003E448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E4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ustawowej formalizacji funkcjonowania </w:t>
      </w:r>
      <w:r w:rsidRPr="003E448D">
        <w:rPr>
          <w:rFonts w:ascii="Times New Roman" w:eastAsia="Lato" w:hAnsi="Times New Roman" w:cs="Times New Roman"/>
          <w:b/>
          <w:sz w:val="24"/>
          <w:szCs w:val="24"/>
        </w:rPr>
        <w:t xml:space="preserve">OMGGS </w:t>
      </w:r>
      <w:r w:rsidRPr="003E4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− poziom regi</w:t>
      </w:r>
      <w:r w:rsidR="00EE10BE" w:rsidRPr="003E4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E4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nalny</w:t>
      </w:r>
    </w:p>
    <w:p w14:paraId="1252B03D" w14:textId="7E6F23A6" w:rsidR="0046621F" w:rsidRPr="00F82EB5" w:rsidRDefault="00F82EB5" w:rsidP="007F5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Zmniejszeni</w:t>
      </w:r>
      <w:r w:rsidR="00F4366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skali </w:t>
      </w:r>
      <w:r w:rsidR="007F5D77" w:rsidRPr="00F82EB5">
        <w:rPr>
          <w:rFonts w:ascii="Times New Roman" w:hAnsi="Times New Roman" w:cs="Times New Roman"/>
          <w:b/>
          <w:sz w:val="24"/>
          <w:szCs w:val="24"/>
        </w:rPr>
        <w:t>niekontrolowanej</w:t>
      </w:r>
      <w:r w:rsidR="0024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21F" w:rsidRPr="00F82EB5">
        <w:rPr>
          <w:rFonts w:ascii="Times New Roman" w:hAnsi="Times New Roman" w:cs="Times New Roman"/>
          <w:b/>
          <w:sz w:val="24"/>
          <w:szCs w:val="24"/>
        </w:rPr>
        <w:t>suburbanizacji</w:t>
      </w:r>
    </w:p>
    <w:p w14:paraId="093FCC49" w14:textId="01792FF4" w:rsidR="00011911" w:rsidRPr="00011911" w:rsidRDefault="007F5D77" w:rsidP="00F82EB5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</w:t>
      </w:r>
      <w:r w:rsidR="007C08BD">
        <w:rPr>
          <w:rFonts w:ascii="Times New Roman" w:hAnsi="Times New Roman" w:cs="Times New Roman"/>
          <w:sz w:val="24"/>
          <w:szCs w:val="24"/>
        </w:rPr>
        <w:t>obszarów</w:t>
      </w:r>
      <w:r>
        <w:rPr>
          <w:rFonts w:ascii="Times New Roman" w:hAnsi="Times New Roman" w:cs="Times New Roman"/>
          <w:sz w:val="24"/>
          <w:szCs w:val="24"/>
        </w:rPr>
        <w:t xml:space="preserve"> metropolitalnych opiera się w </w:t>
      </w:r>
      <w:r w:rsidR="007C08BD">
        <w:rPr>
          <w:rFonts w:ascii="Times New Roman" w:hAnsi="Times New Roman" w:cs="Times New Roman"/>
          <w:sz w:val="24"/>
          <w:szCs w:val="24"/>
        </w:rPr>
        <w:t>dużej</w:t>
      </w:r>
      <w:r>
        <w:rPr>
          <w:rFonts w:ascii="Times New Roman" w:hAnsi="Times New Roman" w:cs="Times New Roman"/>
          <w:sz w:val="24"/>
          <w:szCs w:val="24"/>
        </w:rPr>
        <w:t xml:space="preserve"> mierze na zasadach jazdy na gapę. </w:t>
      </w:r>
      <w:r w:rsidR="003E448D">
        <w:rPr>
          <w:rFonts w:ascii="Times New Roman" w:hAnsi="Times New Roman" w:cs="Times New Roman"/>
          <w:sz w:val="24"/>
          <w:szCs w:val="24"/>
        </w:rPr>
        <w:t>Rdzeń</w:t>
      </w:r>
      <w:r w:rsidR="00051260">
        <w:rPr>
          <w:rFonts w:ascii="Times New Roman" w:hAnsi="Times New Roman" w:cs="Times New Roman"/>
          <w:sz w:val="24"/>
          <w:szCs w:val="24"/>
        </w:rPr>
        <w:t>,</w:t>
      </w:r>
      <w:r w:rsidR="003E448D">
        <w:rPr>
          <w:rFonts w:ascii="Times New Roman" w:hAnsi="Times New Roman" w:cs="Times New Roman"/>
          <w:sz w:val="24"/>
          <w:szCs w:val="24"/>
        </w:rPr>
        <w:t xml:space="preserve"> tj. wielkie </w:t>
      </w:r>
      <w:r>
        <w:rPr>
          <w:rFonts w:ascii="Times New Roman" w:hAnsi="Times New Roman" w:cs="Times New Roman"/>
          <w:sz w:val="24"/>
          <w:szCs w:val="24"/>
        </w:rPr>
        <w:t xml:space="preserve"> miast</w:t>
      </w:r>
      <w:r w:rsidR="003E448D">
        <w:rPr>
          <w:rFonts w:ascii="Times New Roman" w:hAnsi="Times New Roman" w:cs="Times New Roman"/>
          <w:sz w:val="24"/>
          <w:szCs w:val="24"/>
        </w:rPr>
        <w:t>o/miasta</w:t>
      </w:r>
      <w:r>
        <w:rPr>
          <w:rFonts w:ascii="Times New Roman" w:hAnsi="Times New Roman" w:cs="Times New Roman"/>
          <w:sz w:val="24"/>
          <w:szCs w:val="24"/>
        </w:rPr>
        <w:t xml:space="preserve"> mają zapewnić podaż SGEI i </w:t>
      </w:r>
      <w:r w:rsidR="007C08BD">
        <w:rPr>
          <w:rFonts w:ascii="Times New Roman" w:hAnsi="Times New Roman" w:cs="Times New Roman"/>
          <w:sz w:val="24"/>
          <w:szCs w:val="24"/>
        </w:rPr>
        <w:t xml:space="preserve">transport publiczny do gmin wokół rdzenia. Te ostatnie oferują tańsze tereny pod zabudowę pozyskując nowych mieszkańców i pomnażając z tego tytułu </w:t>
      </w:r>
      <w:r w:rsidR="00F82EB5">
        <w:rPr>
          <w:rFonts w:ascii="Times New Roman" w:hAnsi="Times New Roman" w:cs="Times New Roman"/>
          <w:sz w:val="24"/>
          <w:szCs w:val="24"/>
        </w:rPr>
        <w:t xml:space="preserve">swoje </w:t>
      </w:r>
      <w:r w:rsidR="007C08BD">
        <w:rPr>
          <w:rFonts w:ascii="Times New Roman" w:hAnsi="Times New Roman" w:cs="Times New Roman"/>
          <w:sz w:val="24"/>
          <w:szCs w:val="24"/>
        </w:rPr>
        <w:t>wpływy budżet</w:t>
      </w:r>
      <w:r w:rsidR="00F82EB5">
        <w:rPr>
          <w:rFonts w:ascii="Times New Roman" w:hAnsi="Times New Roman" w:cs="Times New Roman"/>
          <w:sz w:val="24"/>
          <w:szCs w:val="24"/>
        </w:rPr>
        <w:t>owe</w:t>
      </w:r>
      <w:r w:rsidR="007C08BD">
        <w:rPr>
          <w:rFonts w:ascii="Times New Roman" w:hAnsi="Times New Roman" w:cs="Times New Roman"/>
          <w:sz w:val="24"/>
          <w:szCs w:val="24"/>
        </w:rPr>
        <w:t>. Z tego tytułu powstaje chaos planistyczny. Kurczy się przepustowość ciągów komunikacyjnych, nieefektywn</w:t>
      </w:r>
      <w:r w:rsidR="00051260">
        <w:rPr>
          <w:rFonts w:ascii="Times New Roman" w:hAnsi="Times New Roman" w:cs="Times New Roman"/>
          <w:sz w:val="24"/>
          <w:szCs w:val="24"/>
        </w:rPr>
        <w:t>i</w:t>
      </w:r>
      <w:r w:rsidR="007C08BD">
        <w:rPr>
          <w:rFonts w:ascii="Times New Roman" w:hAnsi="Times New Roman" w:cs="Times New Roman"/>
          <w:sz w:val="24"/>
          <w:szCs w:val="24"/>
        </w:rPr>
        <w:t xml:space="preserve">e jest wykorzystywanie transportu publicznego dla obsługi zabudowy rozproszonej, pojawia się nadpodaż działek budowlanych w gminach wokół rdzenia, które </w:t>
      </w:r>
      <w:r w:rsidR="003F56A6">
        <w:rPr>
          <w:rFonts w:ascii="Times New Roman" w:hAnsi="Times New Roman" w:cs="Times New Roman"/>
          <w:sz w:val="24"/>
          <w:szCs w:val="24"/>
        </w:rPr>
        <w:t>zmagają</w:t>
      </w:r>
      <w:r w:rsidR="007C08BD">
        <w:rPr>
          <w:rFonts w:ascii="Times New Roman" w:hAnsi="Times New Roman" w:cs="Times New Roman"/>
          <w:sz w:val="24"/>
          <w:szCs w:val="24"/>
        </w:rPr>
        <w:t xml:space="preserve"> się z brakami infrastruktury technicznej. </w:t>
      </w:r>
      <w:r w:rsidR="003F56A6" w:rsidRPr="00F82EB5">
        <w:rPr>
          <w:rFonts w:ascii="Times New Roman" w:hAnsi="Times New Roman" w:cs="Times New Roman"/>
          <w:sz w:val="24"/>
          <w:szCs w:val="24"/>
          <w:u w:val="single"/>
        </w:rPr>
        <w:t xml:space="preserve">Koszty chaosu przestrzennego są bardzo duże. </w:t>
      </w:r>
      <w:r w:rsidR="00011911" w:rsidRPr="00F82EB5">
        <w:rPr>
          <w:rFonts w:ascii="Times New Roman" w:hAnsi="Times New Roman" w:cs="Times New Roman"/>
          <w:sz w:val="24"/>
          <w:szCs w:val="24"/>
          <w:u w:val="single"/>
        </w:rPr>
        <w:t>Jak wskazuje Śleszyński</w:t>
      </w:r>
      <w:r w:rsidR="003F56A6" w:rsidRPr="00F82EB5">
        <w:rPr>
          <w:rFonts w:ascii="Times New Roman" w:hAnsi="Times New Roman" w:cs="Times New Roman"/>
          <w:sz w:val="24"/>
          <w:szCs w:val="24"/>
          <w:u w:val="single"/>
        </w:rPr>
        <w:t xml:space="preserve"> (2021)</w:t>
      </w:r>
      <w:r w:rsidR="00011911" w:rsidRPr="00F82EB5">
        <w:rPr>
          <w:rFonts w:ascii="Times New Roman" w:hAnsi="Times New Roman" w:cs="Times New Roman"/>
          <w:sz w:val="24"/>
          <w:szCs w:val="24"/>
          <w:u w:val="single"/>
        </w:rPr>
        <w:t xml:space="preserve"> całkowite roczne koszty chaosu przestrzennego w Polsce to 84,3 mld PLN, w tym: koszty nadmiarowych dojazdów do pracy, koszty budowy i utrzymania nadmiarowej infrastruktury (dróg, kanalizacji etc.), nadmiernego natężenia ruchu drogowego</w:t>
      </w:r>
      <w:r w:rsidR="00011911">
        <w:rPr>
          <w:rFonts w:ascii="Times New Roman" w:hAnsi="Times New Roman" w:cs="Times New Roman"/>
          <w:sz w:val="24"/>
          <w:szCs w:val="24"/>
        </w:rPr>
        <w:t xml:space="preserve">. W przeliczeniu na jednego zameldowanego  wynoszą one </w:t>
      </w:r>
      <w:r w:rsidR="003E448D">
        <w:rPr>
          <w:rFonts w:ascii="Times New Roman" w:hAnsi="Times New Roman" w:cs="Times New Roman"/>
          <w:sz w:val="24"/>
          <w:szCs w:val="24"/>
        </w:rPr>
        <w:t>2 2</w:t>
      </w:r>
      <w:r w:rsidR="00011911">
        <w:rPr>
          <w:rFonts w:ascii="Times New Roman" w:hAnsi="Times New Roman" w:cs="Times New Roman"/>
          <w:sz w:val="24"/>
          <w:szCs w:val="24"/>
        </w:rPr>
        <w:t xml:space="preserve">00 PLN. </w:t>
      </w:r>
      <w:r w:rsidR="00F82EB5">
        <w:rPr>
          <w:rFonts w:ascii="Times New Roman" w:hAnsi="Times New Roman" w:cs="Times New Roman"/>
          <w:sz w:val="24"/>
          <w:szCs w:val="24"/>
        </w:rPr>
        <w:t>W</w:t>
      </w:r>
      <w:r w:rsidR="00CE7DB4">
        <w:rPr>
          <w:rFonts w:ascii="Times New Roman" w:hAnsi="Times New Roman" w:cs="Times New Roman"/>
          <w:sz w:val="24"/>
          <w:szCs w:val="24"/>
        </w:rPr>
        <w:t>ięcej informacji na ten temat znajduje się w S</w:t>
      </w:r>
      <w:r w:rsidR="00F82EB5">
        <w:rPr>
          <w:rFonts w:ascii="Times New Roman" w:hAnsi="Times New Roman" w:cs="Times New Roman"/>
          <w:sz w:val="24"/>
          <w:szCs w:val="24"/>
        </w:rPr>
        <w:t>tudiach KPZK PAN (Kowalewski i i</w:t>
      </w:r>
      <w:r w:rsidR="00CE7DB4">
        <w:rPr>
          <w:rFonts w:ascii="Times New Roman" w:hAnsi="Times New Roman" w:cs="Times New Roman"/>
          <w:sz w:val="24"/>
          <w:szCs w:val="24"/>
        </w:rPr>
        <w:t>n. 2018)</w:t>
      </w:r>
      <w:r w:rsidR="00F82EB5">
        <w:rPr>
          <w:rFonts w:ascii="Times New Roman" w:hAnsi="Times New Roman" w:cs="Times New Roman"/>
          <w:sz w:val="24"/>
          <w:szCs w:val="24"/>
        </w:rPr>
        <w:t xml:space="preserve">. </w:t>
      </w:r>
      <w:r w:rsidR="00011911">
        <w:rPr>
          <w:rFonts w:ascii="Times New Roman" w:hAnsi="Times New Roman" w:cs="Times New Roman"/>
          <w:sz w:val="24"/>
          <w:szCs w:val="24"/>
        </w:rPr>
        <w:t xml:space="preserve">Formalizacja OMGGS pozwoliłaby na unikniecie tych </w:t>
      </w:r>
      <w:r w:rsidR="003E448D">
        <w:rPr>
          <w:rFonts w:ascii="Times New Roman" w:hAnsi="Times New Roman" w:cs="Times New Roman"/>
          <w:sz w:val="24"/>
          <w:szCs w:val="24"/>
        </w:rPr>
        <w:t>kosztów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="00ED06DE">
        <w:rPr>
          <w:rFonts w:ascii="Times New Roman" w:hAnsi="Times New Roman" w:cs="Times New Roman"/>
          <w:sz w:val="24"/>
          <w:szCs w:val="24"/>
        </w:rPr>
        <w:t>(przynajmniej częściowo i stopniowo)</w:t>
      </w:r>
      <w:r w:rsidR="000E7E35">
        <w:rPr>
          <w:rFonts w:ascii="Times New Roman" w:hAnsi="Times New Roman" w:cs="Times New Roman"/>
          <w:sz w:val="24"/>
          <w:szCs w:val="24"/>
        </w:rPr>
        <w:t>,</w:t>
      </w:r>
      <w:r w:rsidR="00051260">
        <w:rPr>
          <w:rFonts w:ascii="Times New Roman" w:hAnsi="Times New Roman" w:cs="Times New Roman"/>
          <w:sz w:val="24"/>
          <w:szCs w:val="24"/>
        </w:rPr>
        <w:t xml:space="preserve">  </w:t>
      </w:r>
      <w:r w:rsidR="00011911">
        <w:rPr>
          <w:rFonts w:ascii="Times New Roman" w:hAnsi="Times New Roman" w:cs="Times New Roman"/>
          <w:sz w:val="24"/>
          <w:szCs w:val="24"/>
        </w:rPr>
        <w:t xml:space="preserve">a </w:t>
      </w:r>
      <w:r w:rsidR="003E448D">
        <w:rPr>
          <w:rFonts w:ascii="Times New Roman" w:hAnsi="Times New Roman" w:cs="Times New Roman"/>
          <w:sz w:val="24"/>
          <w:szCs w:val="24"/>
        </w:rPr>
        <w:t>biorąc</w:t>
      </w:r>
      <w:r w:rsidR="00011911">
        <w:rPr>
          <w:rFonts w:ascii="Times New Roman" w:hAnsi="Times New Roman" w:cs="Times New Roman"/>
          <w:sz w:val="24"/>
          <w:szCs w:val="24"/>
        </w:rPr>
        <w:t xml:space="preserve"> pod uwagę </w:t>
      </w:r>
      <w:r w:rsidR="003E448D">
        <w:rPr>
          <w:rFonts w:ascii="Times New Roman" w:hAnsi="Times New Roman" w:cs="Times New Roman"/>
          <w:sz w:val="24"/>
          <w:szCs w:val="24"/>
        </w:rPr>
        <w:t>liczbę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="003E448D">
        <w:rPr>
          <w:rFonts w:ascii="Times New Roman" w:hAnsi="Times New Roman" w:cs="Times New Roman"/>
          <w:sz w:val="24"/>
          <w:szCs w:val="24"/>
        </w:rPr>
        <w:t>mieszkańców</w:t>
      </w:r>
      <w:r w:rsidR="00011911">
        <w:rPr>
          <w:rFonts w:ascii="Times New Roman" w:hAnsi="Times New Roman" w:cs="Times New Roman"/>
          <w:sz w:val="24"/>
          <w:szCs w:val="24"/>
        </w:rPr>
        <w:t xml:space="preserve"> w graniach 1 mln oznacza</w:t>
      </w:r>
      <w:r w:rsidR="00E40FDE">
        <w:rPr>
          <w:rFonts w:ascii="Times New Roman" w:hAnsi="Times New Roman" w:cs="Times New Roman"/>
          <w:sz w:val="24"/>
          <w:szCs w:val="24"/>
        </w:rPr>
        <w:t xml:space="preserve">łoby </w:t>
      </w:r>
      <w:r w:rsidR="00011911">
        <w:rPr>
          <w:rFonts w:ascii="Times New Roman" w:hAnsi="Times New Roman" w:cs="Times New Roman"/>
          <w:sz w:val="24"/>
          <w:szCs w:val="24"/>
        </w:rPr>
        <w:t xml:space="preserve"> to roczny zysk na poziomie </w:t>
      </w:r>
      <w:r w:rsidR="003E448D">
        <w:rPr>
          <w:rFonts w:ascii="Times New Roman" w:hAnsi="Times New Roman" w:cs="Times New Roman"/>
          <w:sz w:val="24"/>
          <w:szCs w:val="24"/>
        </w:rPr>
        <w:t>pon</w:t>
      </w:r>
      <w:r w:rsidR="009F2873">
        <w:rPr>
          <w:rFonts w:ascii="Times New Roman" w:hAnsi="Times New Roman" w:cs="Times New Roman"/>
          <w:sz w:val="24"/>
          <w:szCs w:val="24"/>
        </w:rPr>
        <w:t>a</w:t>
      </w:r>
      <w:r w:rsidR="003E448D">
        <w:rPr>
          <w:rFonts w:ascii="Times New Roman" w:hAnsi="Times New Roman" w:cs="Times New Roman"/>
          <w:sz w:val="24"/>
          <w:szCs w:val="24"/>
        </w:rPr>
        <w:t xml:space="preserve">d 2 mld PLN. </w:t>
      </w:r>
      <w:r w:rsidR="00E40FDE">
        <w:rPr>
          <w:rFonts w:ascii="Times New Roman" w:hAnsi="Times New Roman" w:cs="Times New Roman"/>
          <w:sz w:val="24"/>
          <w:szCs w:val="24"/>
        </w:rPr>
        <w:t xml:space="preserve">Bez formalnego ustanowienia kompetencji </w:t>
      </w:r>
      <w:r w:rsidR="00E40FDE">
        <w:rPr>
          <w:rFonts w:ascii="Times New Roman" w:hAnsi="Times New Roman" w:cs="Times New Roman"/>
          <w:sz w:val="24"/>
          <w:szCs w:val="24"/>
        </w:rPr>
        <w:lastRenderedPageBreak/>
        <w:t>OMGGS w zakresie kształtowania ładu i alokacji funduszy na ten cel przestrzenn</w:t>
      </w:r>
      <w:r w:rsidR="00F43669">
        <w:rPr>
          <w:rFonts w:ascii="Times New Roman" w:hAnsi="Times New Roman" w:cs="Times New Roman"/>
          <w:sz w:val="24"/>
          <w:szCs w:val="24"/>
        </w:rPr>
        <w:t>y</w:t>
      </w:r>
      <w:r w:rsidR="00E40FDE">
        <w:rPr>
          <w:rFonts w:ascii="Times New Roman" w:hAnsi="Times New Roman" w:cs="Times New Roman"/>
          <w:sz w:val="24"/>
          <w:szCs w:val="24"/>
        </w:rPr>
        <w:t xml:space="preserve"> chaos w tym zakresie będzie się na Pomorzu pogłębiał. </w:t>
      </w:r>
    </w:p>
    <w:p w14:paraId="6F8CC1DE" w14:textId="77777777" w:rsidR="003E448D" w:rsidRPr="000E7E35" w:rsidRDefault="00DB3777" w:rsidP="003E44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stopniowo zmniejszy koszty chaosu przestrzennego</w:t>
      </w:r>
      <w:r w:rsidR="00051260">
        <w:rPr>
          <w:rFonts w:ascii="Times New Roman" w:hAnsi="Times New Roman" w:cs="Times New Roman"/>
          <w:b/>
          <w:sz w:val="24"/>
          <w:szCs w:val="24"/>
        </w:rPr>
        <w:t>,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co przełoży się na korzyści ponad 2 mld PLN rocznie, dzięki wspólnemu kształtowaniu ładu przestrzennego.</w:t>
      </w:r>
    </w:p>
    <w:p w14:paraId="05F64814" w14:textId="21315445" w:rsidR="008D2AA4" w:rsidRPr="007B7389" w:rsidRDefault="0046621F" w:rsidP="007F5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7389">
        <w:rPr>
          <w:rFonts w:ascii="Times New Roman" w:hAnsi="Times New Roman" w:cs="Times New Roman"/>
          <w:b/>
          <w:sz w:val="24"/>
          <w:szCs w:val="24"/>
        </w:rPr>
        <w:t xml:space="preserve">Pozytywny </w:t>
      </w:r>
      <w:r w:rsidR="00D86FCB" w:rsidRPr="007B7389">
        <w:rPr>
          <w:rFonts w:ascii="Times New Roman" w:hAnsi="Times New Roman" w:cs="Times New Roman"/>
          <w:b/>
          <w:sz w:val="24"/>
          <w:szCs w:val="24"/>
        </w:rPr>
        <w:t>wpływ</w:t>
      </w:r>
      <w:r w:rsidRPr="007B7389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D86FCB" w:rsidRPr="007B7389">
        <w:rPr>
          <w:rFonts w:ascii="Times New Roman" w:hAnsi="Times New Roman" w:cs="Times New Roman"/>
          <w:b/>
          <w:sz w:val="24"/>
          <w:szCs w:val="24"/>
        </w:rPr>
        <w:t>rozwój</w:t>
      </w:r>
      <w:r w:rsidR="0024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FCB" w:rsidRPr="007B7389">
        <w:rPr>
          <w:rFonts w:ascii="Times New Roman" w:hAnsi="Times New Roman" w:cs="Times New Roman"/>
          <w:b/>
          <w:sz w:val="24"/>
          <w:szCs w:val="24"/>
        </w:rPr>
        <w:t>regionów</w:t>
      </w:r>
      <w:r w:rsidRPr="007B7389">
        <w:rPr>
          <w:rFonts w:ascii="Times New Roman" w:hAnsi="Times New Roman" w:cs="Times New Roman"/>
          <w:b/>
          <w:sz w:val="24"/>
          <w:szCs w:val="24"/>
        </w:rPr>
        <w:t xml:space="preserve"> peryferyjnych </w:t>
      </w:r>
    </w:p>
    <w:p w14:paraId="5437E66E" w14:textId="77777777" w:rsidR="008D2AA4" w:rsidRPr="004A73B3" w:rsidRDefault="008D2AA4" w:rsidP="0028150F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AA4">
        <w:rPr>
          <w:rFonts w:ascii="Times New Roman" w:hAnsi="Times New Roman" w:cs="Times New Roman"/>
          <w:sz w:val="24"/>
          <w:szCs w:val="24"/>
        </w:rPr>
        <w:t xml:space="preserve">Znacząca </w:t>
      </w:r>
      <w:r>
        <w:rPr>
          <w:rFonts w:ascii="Times New Roman" w:hAnsi="Times New Roman" w:cs="Times New Roman"/>
          <w:sz w:val="24"/>
          <w:szCs w:val="24"/>
        </w:rPr>
        <w:t xml:space="preserve">jest także </w:t>
      </w:r>
      <w:r w:rsidRPr="008D2AA4">
        <w:rPr>
          <w:rFonts w:ascii="Times New Roman" w:hAnsi="Times New Roman" w:cs="Times New Roman"/>
          <w:sz w:val="24"/>
          <w:szCs w:val="24"/>
        </w:rPr>
        <w:t xml:space="preserve">rola </w:t>
      </w:r>
      <w:r w:rsidR="007B7389">
        <w:rPr>
          <w:rFonts w:ascii="Times New Roman" w:hAnsi="Times New Roman" w:cs="Times New Roman"/>
          <w:sz w:val="24"/>
          <w:szCs w:val="24"/>
        </w:rPr>
        <w:t xml:space="preserve">rozwojowa </w:t>
      </w:r>
      <w:r w:rsidRPr="008D2AA4">
        <w:rPr>
          <w:rFonts w:ascii="Times New Roman" w:hAnsi="Times New Roman" w:cs="Times New Roman"/>
          <w:sz w:val="24"/>
          <w:szCs w:val="24"/>
        </w:rPr>
        <w:t>metropolii</w:t>
      </w:r>
      <w:r w:rsidR="007B7389">
        <w:rPr>
          <w:rFonts w:ascii="Times New Roman" w:hAnsi="Times New Roman" w:cs="Times New Roman"/>
          <w:sz w:val="24"/>
          <w:szCs w:val="24"/>
        </w:rPr>
        <w:t xml:space="preserve"> w skali supra regionalnej. Są one bowiem</w:t>
      </w:r>
      <w:r w:rsidRPr="008D2AA4">
        <w:rPr>
          <w:rFonts w:ascii="Times New Roman" w:hAnsi="Times New Roman" w:cs="Times New Roman"/>
          <w:sz w:val="24"/>
          <w:szCs w:val="24"/>
        </w:rPr>
        <w:t xml:space="preserve"> generatorami i przekaźnikami połączeń</w:t>
      </w:r>
      <w:r w:rsidR="007B7389">
        <w:rPr>
          <w:rFonts w:ascii="Times New Roman" w:hAnsi="Times New Roman" w:cs="Times New Roman"/>
          <w:sz w:val="24"/>
          <w:szCs w:val="24"/>
        </w:rPr>
        <w:t xml:space="preserve"> (przepływów) </w:t>
      </w:r>
      <w:r w:rsidRPr="008D2AA4">
        <w:rPr>
          <w:rFonts w:ascii="Times New Roman" w:hAnsi="Times New Roman" w:cs="Times New Roman"/>
          <w:sz w:val="24"/>
          <w:szCs w:val="24"/>
        </w:rPr>
        <w:t xml:space="preserve"> dla swoich zapleczy na obszarach peryferyjnych UE. </w:t>
      </w:r>
      <w:r w:rsidR="007B7389">
        <w:rPr>
          <w:rFonts w:ascii="Times New Roman" w:hAnsi="Times New Roman" w:cs="Times New Roman"/>
          <w:sz w:val="24"/>
          <w:szCs w:val="24"/>
        </w:rPr>
        <w:t>Oznacza to</w:t>
      </w:r>
      <w:r w:rsidRPr="008D2AA4">
        <w:rPr>
          <w:rFonts w:ascii="Times New Roman" w:hAnsi="Times New Roman" w:cs="Times New Roman"/>
          <w:sz w:val="24"/>
          <w:szCs w:val="24"/>
        </w:rPr>
        <w:t xml:space="preserve">, że inwestowanie w </w:t>
      </w:r>
      <w:r w:rsidR="004A73B3">
        <w:rPr>
          <w:rFonts w:ascii="Times New Roman" w:hAnsi="Times New Roman" w:cs="Times New Roman"/>
          <w:sz w:val="24"/>
          <w:szCs w:val="24"/>
        </w:rPr>
        <w:t>m</w:t>
      </w:r>
      <w:r w:rsidR="007B7389">
        <w:rPr>
          <w:rFonts w:ascii="Times New Roman" w:hAnsi="Times New Roman" w:cs="Times New Roman"/>
          <w:sz w:val="24"/>
          <w:szCs w:val="24"/>
        </w:rPr>
        <w:t>etropolie powinno</w:t>
      </w:r>
      <w:r w:rsidRPr="008D2AA4">
        <w:rPr>
          <w:rFonts w:ascii="Times New Roman" w:hAnsi="Times New Roman" w:cs="Times New Roman"/>
          <w:sz w:val="24"/>
          <w:szCs w:val="24"/>
        </w:rPr>
        <w:t xml:space="preserve"> wspiera</w:t>
      </w:r>
      <w:r w:rsidR="007B7389">
        <w:rPr>
          <w:rFonts w:ascii="Times New Roman" w:hAnsi="Times New Roman" w:cs="Times New Roman"/>
          <w:sz w:val="24"/>
          <w:szCs w:val="24"/>
        </w:rPr>
        <w:t>ć rozwój</w:t>
      </w:r>
      <w:r w:rsidRPr="008D2AA4">
        <w:rPr>
          <w:rFonts w:ascii="Times New Roman" w:hAnsi="Times New Roman" w:cs="Times New Roman"/>
          <w:sz w:val="24"/>
          <w:szCs w:val="24"/>
        </w:rPr>
        <w:t xml:space="preserve"> sąsiedni</w:t>
      </w:r>
      <w:r w:rsidR="007B7389">
        <w:rPr>
          <w:rFonts w:ascii="Times New Roman" w:hAnsi="Times New Roman" w:cs="Times New Roman"/>
          <w:sz w:val="24"/>
          <w:szCs w:val="24"/>
        </w:rPr>
        <w:t>ch</w:t>
      </w:r>
      <w:r w:rsidRPr="008D2AA4">
        <w:rPr>
          <w:rFonts w:ascii="Times New Roman" w:hAnsi="Times New Roman" w:cs="Times New Roman"/>
          <w:sz w:val="24"/>
          <w:szCs w:val="24"/>
        </w:rPr>
        <w:t xml:space="preserve"> obszar</w:t>
      </w:r>
      <w:r w:rsidR="007B7389">
        <w:rPr>
          <w:rFonts w:ascii="Times New Roman" w:hAnsi="Times New Roman" w:cs="Times New Roman"/>
          <w:sz w:val="24"/>
          <w:szCs w:val="24"/>
        </w:rPr>
        <w:t>ów</w:t>
      </w:r>
      <w:r w:rsidRPr="008D2AA4">
        <w:rPr>
          <w:rFonts w:ascii="Times New Roman" w:hAnsi="Times New Roman" w:cs="Times New Roman"/>
          <w:sz w:val="24"/>
          <w:szCs w:val="24"/>
        </w:rPr>
        <w:t xml:space="preserve"> peryferyjn</w:t>
      </w:r>
      <w:r w:rsidR="007B7389">
        <w:rPr>
          <w:rFonts w:ascii="Times New Roman" w:hAnsi="Times New Roman" w:cs="Times New Roman"/>
          <w:sz w:val="24"/>
          <w:szCs w:val="24"/>
        </w:rPr>
        <w:t xml:space="preserve">ych lub/i zapewniać im perspektywy rozwojowe </w:t>
      </w:r>
      <w:r w:rsidR="000E7E35">
        <w:rPr>
          <w:rFonts w:ascii="Times New Roman" w:hAnsi="Times New Roman" w:cs="Times New Roman"/>
          <w:sz w:val="24"/>
          <w:szCs w:val="24"/>
        </w:rPr>
        <w:br/>
      </w:r>
      <w:r w:rsidR="007B7389">
        <w:rPr>
          <w:rFonts w:ascii="Times New Roman" w:hAnsi="Times New Roman" w:cs="Times New Roman"/>
          <w:sz w:val="24"/>
          <w:szCs w:val="24"/>
        </w:rPr>
        <w:t>i utrzymania ich dotychczasowych funkcji</w:t>
      </w:r>
      <w:r w:rsidRPr="008D2A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Bardzo ciekaw</w:t>
      </w:r>
      <w:r w:rsidR="004A73B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koncepcję </w:t>
      </w:r>
      <w:r w:rsidR="004A73B3">
        <w:rPr>
          <w:rFonts w:ascii="Times New Roman" w:hAnsi="Times New Roman" w:cs="Times New Roman"/>
          <w:sz w:val="24"/>
          <w:szCs w:val="24"/>
        </w:rPr>
        <w:t xml:space="preserve">zapobiegania implozji obszarów peryferyjnych i stagnujących </w:t>
      </w:r>
      <w:r>
        <w:rPr>
          <w:rFonts w:ascii="Times New Roman" w:hAnsi="Times New Roman" w:cs="Times New Roman"/>
          <w:sz w:val="24"/>
          <w:szCs w:val="24"/>
        </w:rPr>
        <w:t xml:space="preserve">proponują </w:t>
      </w:r>
      <w:r w:rsidRPr="008D2AA4">
        <w:rPr>
          <w:rFonts w:ascii="Times New Roman" w:hAnsi="Times New Roman" w:cs="Times New Roman"/>
          <w:sz w:val="24"/>
          <w:szCs w:val="24"/>
        </w:rPr>
        <w:t>Medeiros</w:t>
      </w:r>
      <w:r w:rsidR="00051260">
        <w:rPr>
          <w:rFonts w:ascii="Times New Roman" w:hAnsi="Times New Roman" w:cs="Times New Roman"/>
          <w:sz w:val="24"/>
          <w:szCs w:val="24"/>
        </w:rPr>
        <w:t xml:space="preserve"> i </w:t>
      </w:r>
      <w:r w:rsidRPr="008D2AA4">
        <w:rPr>
          <w:rFonts w:ascii="Times New Roman" w:hAnsi="Times New Roman" w:cs="Times New Roman"/>
          <w:sz w:val="24"/>
          <w:szCs w:val="24"/>
        </w:rPr>
        <w:t>Rauhut</w:t>
      </w:r>
      <w:r w:rsidR="00051260">
        <w:rPr>
          <w:rFonts w:ascii="Times New Roman" w:hAnsi="Times New Roman" w:cs="Times New Roman"/>
          <w:sz w:val="24"/>
          <w:szCs w:val="24"/>
        </w:rPr>
        <w:t xml:space="preserve"> </w:t>
      </w:r>
      <w:r w:rsidR="00756E67">
        <w:rPr>
          <w:rFonts w:ascii="Times New Roman" w:hAnsi="Times New Roman" w:cs="Times New Roman"/>
          <w:sz w:val="24"/>
          <w:szCs w:val="24"/>
        </w:rPr>
        <w:t>(</w:t>
      </w:r>
      <w:r w:rsidRPr="008D2AA4">
        <w:rPr>
          <w:rFonts w:ascii="Times New Roman" w:hAnsi="Times New Roman" w:cs="Times New Roman"/>
          <w:sz w:val="24"/>
          <w:szCs w:val="24"/>
        </w:rPr>
        <w:t>2020)</w:t>
      </w:r>
      <w:r w:rsidR="00756E67">
        <w:rPr>
          <w:rFonts w:ascii="Times New Roman" w:hAnsi="Times New Roman" w:cs="Times New Roman"/>
          <w:sz w:val="24"/>
          <w:szCs w:val="24"/>
        </w:rPr>
        <w:t>.</w:t>
      </w:r>
      <w:r w:rsidR="00051260">
        <w:rPr>
          <w:rFonts w:ascii="Times New Roman" w:hAnsi="Times New Roman" w:cs="Times New Roman"/>
          <w:sz w:val="24"/>
          <w:szCs w:val="24"/>
        </w:rPr>
        <w:t xml:space="preserve"> </w:t>
      </w:r>
      <w:r w:rsidR="0079362E">
        <w:rPr>
          <w:rFonts w:ascii="Times New Roman" w:hAnsi="Times New Roman" w:cs="Times New Roman"/>
          <w:sz w:val="24"/>
          <w:szCs w:val="24"/>
        </w:rPr>
        <w:t xml:space="preserve">Sugerują oni skoncentrowanie interwencji publicznej na miastach </w:t>
      </w:r>
      <w:r w:rsidR="0079362E" w:rsidRPr="0079362E">
        <w:rPr>
          <w:rFonts w:ascii="Times New Roman" w:hAnsi="Times New Roman" w:cs="Times New Roman"/>
          <w:sz w:val="24"/>
          <w:szCs w:val="24"/>
        </w:rPr>
        <w:t>Spójności Terytorialnej (TCC</w:t>
      </w:r>
      <w:r w:rsidR="004A73B3">
        <w:rPr>
          <w:rFonts w:ascii="Times New Roman" w:hAnsi="Times New Roman" w:cs="Times New Roman"/>
          <w:sz w:val="24"/>
          <w:szCs w:val="24"/>
        </w:rPr>
        <w:t xml:space="preserve">) w regionach ze strukturalnymi </w:t>
      </w:r>
      <w:r w:rsidR="0079362E" w:rsidRPr="0079362E">
        <w:rPr>
          <w:rFonts w:ascii="Times New Roman" w:hAnsi="Times New Roman" w:cs="Times New Roman"/>
          <w:sz w:val="24"/>
          <w:szCs w:val="24"/>
        </w:rPr>
        <w:t xml:space="preserve">problemami </w:t>
      </w:r>
      <w:r w:rsidR="004A73B3">
        <w:rPr>
          <w:rFonts w:ascii="Times New Roman" w:hAnsi="Times New Roman" w:cs="Times New Roman"/>
          <w:sz w:val="24"/>
          <w:szCs w:val="24"/>
        </w:rPr>
        <w:t>rozwojowymi</w:t>
      </w:r>
      <w:r w:rsidR="0079362E">
        <w:rPr>
          <w:rFonts w:ascii="Times New Roman" w:hAnsi="Times New Roman" w:cs="Times New Roman"/>
          <w:sz w:val="24"/>
          <w:szCs w:val="24"/>
        </w:rPr>
        <w:t>. Jak wskazuje projekt  IRIE (ESPON 2020)</w:t>
      </w:r>
      <w:r w:rsidR="00051260">
        <w:rPr>
          <w:rFonts w:ascii="Times New Roman" w:hAnsi="Times New Roman" w:cs="Times New Roman"/>
          <w:sz w:val="24"/>
          <w:szCs w:val="24"/>
        </w:rPr>
        <w:t xml:space="preserve">, </w:t>
      </w:r>
      <w:r w:rsidR="00B914C9" w:rsidRPr="00B914C9">
        <w:rPr>
          <w:rFonts w:ascii="Times New Roman" w:hAnsi="Times New Roman" w:cs="Times New Roman"/>
          <w:sz w:val="24"/>
          <w:szCs w:val="24"/>
        </w:rPr>
        <w:t xml:space="preserve">działając jako </w:t>
      </w:r>
      <w:r w:rsidR="00B914C9">
        <w:rPr>
          <w:rFonts w:ascii="Times New Roman" w:hAnsi="Times New Roman" w:cs="Times New Roman"/>
          <w:sz w:val="24"/>
          <w:szCs w:val="24"/>
        </w:rPr>
        <w:t>przekaźnik</w:t>
      </w:r>
      <w:r w:rsidR="00B914C9" w:rsidRPr="00B914C9">
        <w:rPr>
          <w:rFonts w:ascii="Times New Roman" w:hAnsi="Times New Roman" w:cs="Times New Roman"/>
          <w:sz w:val="24"/>
          <w:szCs w:val="24"/>
        </w:rPr>
        <w:t xml:space="preserve">, TCC mogą </w:t>
      </w:r>
      <w:r w:rsidR="00B914C9">
        <w:rPr>
          <w:rFonts w:ascii="Times New Roman" w:hAnsi="Times New Roman" w:cs="Times New Roman"/>
          <w:sz w:val="24"/>
          <w:szCs w:val="24"/>
        </w:rPr>
        <w:t>sterować</w:t>
      </w:r>
      <w:r w:rsidR="00B914C9" w:rsidRPr="00B914C9">
        <w:rPr>
          <w:rFonts w:ascii="Times New Roman" w:hAnsi="Times New Roman" w:cs="Times New Roman"/>
          <w:sz w:val="24"/>
          <w:szCs w:val="24"/>
        </w:rPr>
        <w:t xml:space="preserve"> przepływ</w:t>
      </w:r>
      <w:r w:rsidR="00B914C9">
        <w:rPr>
          <w:rFonts w:ascii="Times New Roman" w:hAnsi="Times New Roman" w:cs="Times New Roman"/>
          <w:sz w:val="24"/>
          <w:szCs w:val="24"/>
        </w:rPr>
        <w:t>ami</w:t>
      </w:r>
      <w:r w:rsidR="00B914C9" w:rsidRPr="00B914C9">
        <w:rPr>
          <w:rFonts w:ascii="Times New Roman" w:hAnsi="Times New Roman" w:cs="Times New Roman"/>
          <w:sz w:val="24"/>
          <w:szCs w:val="24"/>
        </w:rPr>
        <w:t xml:space="preserve"> do/z regionów słabych w bardziej korzystnym kierunku, wzmacniając najbardziej obiecujące przep</w:t>
      </w:r>
      <w:r w:rsidR="000641A4">
        <w:rPr>
          <w:rFonts w:ascii="Times New Roman" w:hAnsi="Times New Roman" w:cs="Times New Roman"/>
          <w:sz w:val="24"/>
          <w:szCs w:val="24"/>
        </w:rPr>
        <w:t>ływy i dywersyfikując rozwój</w:t>
      </w:r>
      <w:r w:rsidR="00B914C9" w:rsidRPr="00B914C9">
        <w:rPr>
          <w:rFonts w:ascii="Times New Roman" w:hAnsi="Times New Roman" w:cs="Times New Roman"/>
          <w:sz w:val="24"/>
          <w:szCs w:val="24"/>
        </w:rPr>
        <w:t>, za pomocą dialog</w:t>
      </w:r>
      <w:r w:rsidR="0028150F">
        <w:rPr>
          <w:rFonts w:ascii="Times New Roman" w:hAnsi="Times New Roman" w:cs="Times New Roman"/>
          <w:sz w:val="24"/>
          <w:szCs w:val="24"/>
        </w:rPr>
        <w:t xml:space="preserve">u z kluczowymi interesariuszami. </w:t>
      </w:r>
      <w:r w:rsidR="000E7E35">
        <w:rPr>
          <w:rFonts w:ascii="Times New Roman" w:hAnsi="Times New Roman" w:cs="Times New Roman"/>
          <w:sz w:val="24"/>
          <w:szCs w:val="24"/>
        </w:rPr>
        <w:br/>
      </w:r>
      <w:r w:rsidR="0028150F">
        <w:rPr>
          <w:rFonts w:ascii="Times New Roman" w:hAnsi="Times New Roman" w:cs="Times New Roman"/>
          <w:sz w:val="24"/>
          <w:szCs w:val="24"/>
        </w:rPr>
        <w:t xml:space="preserve">W tym modelu </w:t>
      </w:r>
      <w:r w:rsidR="0028150F" w:rsidRPr="004A73B3">
        <w:rPr>
          <w:rFonts w:ascii="Times New Roman" w:hAnsi="Times New Roman" w:cs="Times New Roman"/>
          <w:sz w:val="24"/>
          <w:szCs w:val="24"/>
          <w:u w:val="single"/>
        </w:rPr>
        <w:t>dobrze funkcjonujące i upodmiotowione obszary metropolitalne maj</w:t>
      </w:r>
      <w:r w:rsidR="00051260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28150F" w:rsidRPr="004A73B3">
        <w:rPr>
          <w:rFonts w:ascii="Times New Roman" w:hAnsi="Times New Roman" w:cs="Times New Roman"/>
          <w:sz w:val="24"/>
          <w:szCs w:val="24"/>
          <w:u w:val="single"/>
        </w:rPr>
        <w:t xml:space="preserve"> kluczową rolę jako główni partnerzy TCC i odbiorcy generowanych przez nie przepływów. </w:t>
      </w:r>
      <w:r w:rsidR="009246F9">
        <w:rPr>
          <w:rFonts w:ascii="Times New Roman" w:hAnsi="Times New Roman" w:cs="Times New Roman"/>
          <w:sz w:val="24"/>
          <w:szCs w:val="24"/>
          <w:u w:val="single"/>
        </w:rPr>
        <w:t>Nastąpi wzrost bazy podatkowej szczególnie w TCC.</w:t>
      </w:r>
    </w:p>
    <w:p w14:paraId="7F8FE884" w14:textId="4252B3BE" w:rsidR="0028150F" w:rsidRPr="00E83B8A" w:rsidRDefault="00DB3777" w:rsidP="002815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będzie miała pozytywny wpływ gospodarczy na rozwój reszty Pomorza i na województwa ościenne. Efektem będzie wyższa baza podatkowa</w:t>
      </w:r>
      <w:r w:rsidR="0024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777">
        <w:rPr>
          <w:rFonts w:ascii="Times New Roman" w:hAnsi="Times New Roman" w:cs="Times New Roman"/>
          <w:b/>
          <w:sz w:val="24"/>
          <w:szCs w:val="24"/>
        </w:rPr>
        <w:t>w pozametropolitalnej części Pomorza</w:t>
      </w:r>
      <w:r w:rsidR="009246F9">
        <w:rPr>
          <w:rFonts w:ascii="Times New Roman" w:hAnsi="Times New Roman" w:cs="Times New Roman"/>
          <w:sz w:val="24"/>
          <w:szCs w:val="24"/>
        </w:rPr>
        <w:t>.</w:t>
      </w:r>
    </w:p>
    <w:p w14:paraId="4ED818FF" w14:textId="77777777" w:rsidR="0046621F" w:rsidRPr="004A73B3" w:rsidRDefault="00061C7B" w:rsidP="007F5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3B3">
        <w:rPr>
          <w:rFonts w:ascii="Times New Roman" w:hAnsi="Times New Roman" w:cs="Times New Roman"/>
          <w:b/>
          <w:sz w:val="24"/>
          <w:szCs w:val="24"/>
        </w:rPr>
        <w:t>L</w:t>
      </w:r>
      <w:r w:rsidR="0046621F" w:rsidRPr="004A73B3">
        <w:rPr>
          <w:rFonts w:ascii="Times New Roman" w:hAnsi="Times New Roman" w:cs="Times New Roman"/>
          <w:b/>
          <w:sz w:val="24"/>
          <w:szCs w:val="24"/>
        </w:rPr>
        <w:t>epsze sieciowanie wiedzy</w:t>
      </w:r>
    </w:p>
    <w:p w14:paraId="5343D104" w14:textId="48E56B4B" w:rsidR="007520E3" w:rsidRPr="002620D1" w:rsidRDefault="007520E3" w:rsidP="004A73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powstaje na uczelniach w instytutach badawczych i w laboratoriach firm prywatnych. Formalizacja i prawne usankcjonowanie OMGGS przyczyni się do przyspieszenia tego procesu na skal</w:t>
      </w:r>
      <w:r w:rsidR="0005126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możliwości i posiadanych środków na ten cel przez władze metropolitalne. Ale głównym ich z</w:t>
      </w:r>
      <w:r w:rsidR="000512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daniem będzie sieciowanie wiedzy i łączenie partnerów zainteresowanych jej tworzeniem i wykorzystaniem</w:t>
      </w:r>
      <w:r w:rsidR="002620D1">
        <w:rPr>
          <w:rFonts w:ascii="Times New Roman" w:hAnsi="Times New Roman" w:cs="Times New Roman"/>
          <w:sz w:val="24"/>
          <w:szCs w:val="24"/>
        </w:rPr>
        <w:t xml:space="preserve"> w ramach metropolii i poza nią</w:t>
      </w:r>
      <w:r>
        <w:rPr>
          <w:rFonts w:ascii="Times New Roman" w:hAnsi="Times New Roman" w:cs="Times New Roman"/>
          <w:sz w:val="24"/>
          <w:szCs w:val="24"/>
        </w:rPr>
        <w:t xml:space="preserve">. Ta funkcja pośrednika </w:t>
      </w:r>
      <w:r w:rsidR="002620D1">
        <w:rPr>
          <w:rFonts w:ascii="Times New Roman" w:hAnsi="Times New Roman" w:cs="Times New Roman"/>
          <w:sz w:val="24"/>
          <w:szCs w:val="24"/>
        </w:rPr>
        <w:t xml:space="preserve">(stymulacji przepływów wiedzy i innowacji) </w:t>
      </w:r>
      <w:r>
        <w:rPr>
          <w:rFonts w:ascii="Times New Roman" w:hAnsi="Times New Roman" w:cs="Times New Roman"/>
          <w:sz w:val="24"/>
          <w:szCs w:val="24"/>
        </w:rPr>
        <w:t xml:space="preserve">jest bardzo ważna </w:t>
      </w:r>
      <w:r w:rsidR="00E40FDE">
        <w:rPr>
          <w:rFonts w:ascii="Times New Roman" w:hAnsi="Times New Roman" w:cs="Times New Roman"/>
          <w:sz w:val="24"/>
          <w:szCs w:val="24"/>
        </w:rPr>
        <w:t xml:space="preserve">dla tworzenia gospodarki </w:t>
      </w:r>
      <w:r w:rsidR="002620D1">
        <w:rPr>
          <w:rFonts w:ascii="Times New Roman" w:hAnsi="Times New Roman" w:cs="Times New Roman"/>
          <w:sz w:val="24"/>
          <w:szCs w:val="24"/>
        </w:rPr>
        <w:t>opartej</w:t>
      </w:r>
      <w:r w:rsidR="00E40FDE">
        <w:rPr>
          <w:rFonts w:ascii="Times New Roman" w:hAnsi="Times New Roman" w:cs="Times New Roman"/>
          <w:sz w:val="24"/>
          <w:szCs w:val="24"/>
        </w:rPr>
        <w:t xml:space="preserve"> na wiedzy (ESPON 2012, </w:t>
      </w:r>
      <w:r w:rsidR="002620D1">
        <w:rPr>
          <w:rFonts w:ascii="Times New Roman" w:hAnsi="Times New Roman" w:cs="Times New Roman"/>
          <w:sz w:val="24"/>
          <w:szCs w:val="24"/>
        </w:rPr>
        <w:t xml:space="preserve">18) </w:t>
      </w:r>
      <w:r>
        <w:rPr>
          <w:rFonts w:ascii="Times New Roman" w:hAnsi="Times New Roman" w:cs="Times New Roman"/>
          <w:sz w:val="24"/>
          <w:szCs w:val="24"/>
        </w:rPr>
        <w:t xml:space="preserve">i nawet wielkie </w:t>
      </w:r>
      <w:r w:rsidR="002620D1">
        <w:rPr>
          <w:rFonts w:ascii="Times New Roman" w:hAnsi="Times New Roman" w:cs="Times New Roman"/>
          <w:sz w:val="24"/>
          <w:szCs w:val="24"/>
        </w:rPr>
        <w:t xml:space="preserve">polskie </w:t>
      </w:r>
      <w:r>
        <w:rPr>
          <w:rFonts w:ascii="Times New Roman" w:hAnsi="Times New Roman" w:cs="Times New Roman"/>
          <w:sz w:val="24"/>
          <w:szCs w:val="24"/>
        </w:rPr>
        <w:t>miasta jak na razie spełniają j</w:t>
      </w:r>
      <w:r w:rsidR="0039688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ograniczonym zakresie. 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>W polskich obszarach metropolitalnych daje się zauważyć próżnia  odnośnie sieciowania wiedzy, łączenia jej twórców i użytkowników. Jest to ewidentna słabość rynku</w:t>
      </w:r>
      <w:r w:rsidR="00396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A73B3" w:rsidRPr="004A73B3">
        <w:rPr>
          <w:rFonts w:ascii="Times New Roman" w:hAnsi="Times New Roman" w:cs="Times New Roman"/>
          <w:i/>
          <w:sz w:val="24"/>
          <w:szCs w:val="24"/>
          <w:u w:val="single"/>
        </w:rPr>
        <w:t>market failure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E7E3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 xml:space="preserve"> a władze publiczne nie maja wiedzy, kompetencji i prawnego umocowania</w:t>
      </w:r>
      <w:r w:rsidR="0039688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 xml:space="preserve"> aby to czynić</w:t>
      </w:r>
      <w:r w:rsidR="004A73B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A73B3">
        <w:rPr>
          <w:rFonts w:ascii="Times New Roman" w:hAnsi="Times New Roman" w:cs="Times New Roman"/>
          <w:sz w:val="24"/>
          <w:szCs w:val="24"/>
        </w:rPr>
        <w:t xml:space="preserve"> Jeśli wi</w:t>
      </w:r>
      <w:r w:rsidR="000E7E35">
        <w:rPr>
          <w:rFonts w:ascii="Times New Roman" w:hAnsi="Times New Roman" w:cs="Times New Roman"/>
          <w:sz w:val="24"/>
          <w:szCs w:val="24"/>
        </w:rPr>
        <w:t>ę</w:t>
      </w:r>
      <w:r w:rsidR="004A73B3">
        <w:rPr>
          <w:rFonts w:ascii="Times New Roman" w:hAnsi="Times New Roman" w:cs="Times New Roman"/>
          <w:sz w:val="24"/>
          <w:szCs w:val="24"/>
        </w:rPr>
        <w:t>c takie procesy mają miejsce</w:t>
      </w:r>
      <w:r w:rsidR="002620D1">
        <w:rPr>
          <w:rFonts w:ascii="Times New Roman" w:hAnsi="Times New Roman" w:cs="Times New Roman"/>
          <w:sz w:val="24"/>
          <w:szCs w:val="24"/>
        </w:rPr>
        <w:t>,</w:t>
      </w:r>
      <w:r w:rsidR="004A73B3">
        <w:rPr>
          <w:rFonts w:ascii="Times New Roman" w:hAnsi="Times New Roman" w:cs="Times New Roman"/>
          <w:sz w:val="24"/>
          <w:szCs w:val="24"/>
        </w:rPr>
        <w:t xml:space="preserve"> są one wynikiem spontanicznych inicjatyw w niektórych samorządach regionalnych, które nie są właściwym poziomem terytorialnym</w:t>
      </w:r>
      <w:r w:rsidR="0039688A">
        <w:rPr>
          <w:rFonts w:ascii="Times New Roman" w:hAnsi="Times New Roman" w:cs="Times New Roman"/>
          <w:sz w:val="24"/>
          <w:szCs w:val="24"/>
        </w:rPr>
        <w:t>,</w:t>
      </w:r>
      <w:r w:rsidR="004A73B3">
        <w:rPr>
          <w:rFonts w:ascii="Times New Roman" w:hAnsi="Times New Roman" w:cs="Times New Roman"/>
          <w:sz w:val="24"/>
          <w:szCs w:val="24"/>
        </w:rPr>
        <w:t xml:space="preserve"> aby tym się zajmować. </w:t>
      </w:r>
      <w:r>
        <w:rPr>
          <w:rFonts w:ascii="Times New Roman" w:hAnsi="Times New Roman" w:cs="Times New Roman"/>
          <w:sz w:val="24"/>
          <w:szCs w:val="24"/>
        </w:rPr>
        <w:t>Nie maj</w:t>
      </w:r>
      <w:r w:rsidR="004A73B3">
        <w:rPr>
          <w:rFonts w:ascii="Times New Roman" w:hAnsi="Times New Roman" w:cs="Times New Roman"/>
          <w:sz w:val="24"/>
          <w:szCs w:val="24"/>
        </w:rPr>
        <w:t xml:space="preserve">ą na ten cel </w:t>
      </w:r>
      <w:r w:rsidR="002620D1">
        <w:rPr>
          <w:rFonts w:ascii="Times New Roman" w:hAnsi="Times New Roman" w:cs="Times New Roman"/>
          <w:sz w:val="24"/>
          <w:szCs w:val="24"/>
        </w:rPr>
        <w:t>środków</w:t>
      </w:r>
      <w:r w:rsidR="004A73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ani doświadcze</w:t>
      </w:r>
      <w:r w:rsidR="004A73B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. Specyfiką OMGGS jest sieciowa </w:t>
      </w:r>
      <w:r w:rsidR="008E51D9">
        <w:rPr>
          <w:rFonts w:ascii="Times New Roman" w:hAnsi="Times New Roman" w:cs="Times New Roman"/>
          <w:sz w:val="24"/>
          <w:szCs w:val="24"/>
        </w:rPr>
        <w:t>współpraca</w:t>
      </w:r>
      <w:r>
        <w:rPr>
          <w:rFonts w:ascii="Times New Roman" w:hAnsi="Times New Roman" w:cs="Times New Roman"/>
          <w:sz w:val="24"/>
          <w:szCs w:val="24"/>
        </w:rPr>
        <w:t xml:space="preserve">, już obecnie prowadzona z uczelniami i sektorem prywatnym. Wpisanie tego zadania jako zadania </w:t>
      </w:r>
      <w:r w:rsidR="008E51D9">
        <w:rPr>
          <w:rFonts w:ascii="Times New Roman" w:hAnsi="Times New Roman" w:cs="Times New Roman"/>
          <w:sz w:val="24"/>
          <w:szCs w:val="24"/>
        </w:rPr>
        <w:t>własnego</w:t>
      </w:r>
      <w:r>
        <w:rPr>
          <w:rFonts w:ascii="Times New Roman" w:hAnsi="Times New Roman" w:cs="Times New Roman"/>
          <w:sz w:val="24"/>
          <w:szCs w:val="24"/>
        </w:rPr>
        <w:t xml:space="preserve"> metropolii proces ten tylko </w:t>
      </w:r>
      <w:r w:rsidR="008E51D9">
        <w:rPr>
          <w:rFonts w:ascii="Times New Roman" w:hAnsi="Times New Roman" w:cs="Times New Roman"/>
          <w:sz w:val="24"/>
          <w:szCs w:val="24"/>
        </w:rPr>
        <w:t>pogłębi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51D9">
        <w:rPr>
          <w:rFonts w:ascii="Times New Roman" w:hAnsi="Times New Roman" w:cs="Times New Roman"/>
          <w:sz w:val="24"/>
          <w:szCs w:val="24"/>
        </w:rPr>
        <w:t xml:space="preserve">Jak </w:t>
      </w:r>
      <w:r w:rsidR="008E51D9">
        <w:rPr>
          <w:rFonts w:ascii="Times New Roman" w:hAnsi="Times New Roman" w:cs="Times New Roman"/>
          <w:sz w:val="24"/>
          <w:szCs w:val="24"/>
        </w:rPr>
        <w:lastRenderedPageBreak/>
        <w:t>bowiem wskazują analizy projektu ESPON Metro</w:t>
      </w:r>
      <w:r w:rsidR="004A73B3">
        <w:rPr>
          <w:rFonts w:ascii="Times New Roman" w:hAnsi="Times New Roman" w:cs="Times New Roman"/>
          <w:sz w:val="24"/>
          <w:szCs w:val="24"/>
        </w:rPr>
        <w:t xml:space="preserve"> (ESPON 2021a)</w:t>
      </w:r>
      <w:r w:rsidR="008E51D9">
        <w:rPr>
          <w:rFonts w:ascii="Times New Roman" w:hAnsi="Times New Roman" w:cs="Times New Roman"/>
          <w:sz w:val="24"/>
          <w:szCs w:val="24"/>
        </w:rPr>
        <w:t>, pomimo sieci współpracy</w:t>
      </w:r>
      <w:r w:rsidR="0039688A">
        <w:rPr>
          <w:rFonts w:ascii="Times New Roman" w:hAnsi="Times New Roman" w:cs="Times New Roman"/>
          <w:sz w:val="24"/>
          <w:szCs w:val="24"/>
        </w:rPr>
        <w:t>.</w:t>
      </w:r>
      <w:r w:rsidR="008E51D9">
        <w:rPr>
          <w:rFonts w:ascii="Times New Roman" w:hAnsi="Times New Roman" w:cs="Times New Roman"/>
          <w:sz w:val="24"/>
          <w:szCs w:val="24"/>
        </w:rPr>
        <w:t xml:space="preserve"> </w:t>
      </w:r>
      <w:r w:rsidR="004A73B3" w:rsidRPr="004A73B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E51D9" w:rsidRPr="004A73B3">
        <w:rPr>
          <w:rFonts w:ascii="Times New Roman" w:hAnsi="Times New Roman" w:cs="Times New Roman"/>
          <w:sz w:val="24"/>
          <w:szCs w:val="24"/>
          <w:u w:val="single"/>
        </w:rPr>
        <w:t>towarzyszenie</w:t>
      </w:r>
      <w:r w:rsidR="00247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1D9" w:rsidRPr="004A73B3">
        <w:rPr>
          <w:rFonts w:ascii="Times New Roman" w:hAnsi="Times New Roman" w:cs="Times New Roman"/>
          <w:sz w:val="24"/>
          <w:szCs w:val="24"/>
          <w:u w:val="single"/>
        </w:rPr>
        <w:t>OMGGS w obecnym kształcie tworzy politykę kształtowaną w dużym stopniu przez cele strategiczne głównych miast. Wydaje się także, że sektor publiczny ma zbyt dużą władzę w procesie decyzyjnym</w:t>
      </w:r>
      <w:r w:rsidR="008E51D9">
        <w:rPr>
          <w:rFonts w:ascii="Times New Roman" w:hAnsi="Times New Roman" w:cs="Times New Roman"/>
          <w:sz w:val="24"/>
          <w:szCs w:val="24"/>
        </w:rPr>
        <w:t xml:space="preserve">. Stworzenie niezależnego zarządu metropolii trójmiejskiej  poprawiłoby znacznie </w:t>
      </w:r>
      <w:r w:rsidR="008E51D9" w:rsidRPr="008E51D9">
        <w:rPr>
          <w:rFonts w:ascii="Times New Roman" w:hAnsi="Times New Roman" w:cs="Times New Roman"/>
          <w:sz w:val="24"/>
          <w:szCs w:val="24"/>
        </w:rPr>
        <w:t xml:space="preserve"> relacje z interesariuszami </w:t>
      </w:r>
      <w:r w:rsidR="00061C7B">
        <w:rPr>
          <w:rFonts w:ascii="Times New Roman" w:hAnsi="Times New Roman" w:cs="Times New Roman"/>
          <w:sz w:val="24"/>
          <w:szCs w:val="24"/>
        </w:rPr>
        <w:t>konstytuującymi</w:t>
      </w:r>
      <w:r w:rsidR="008E51D9">
        <w:rPr>
          <w:rFonts w:ascii="Times New Roman" w:hAnsi="Times New Roman" w:cs="Times New Roman"/>
          <w:sz w:val="24"/>
          <w:szCs w:val="24"/>
        </w:rPr>
        <w:t xml:space="preserve"> metropoli</w:t>
      </w:r>
      <w:r w:rsidR="00061C7B">
        <w:rPr>
          <w:rFonts w:ascii="Times New Roman" w:hAnsi="Times New Roman" w:cs="Times New Roman"/>
          <w:sz w:val="24"/>
          <w:szCs w:val="24"/>
        </w:rPr>
        <w:t>ę</w:t>
      </w:r>
      <w:r w:rsidR="008E51D9" w:rsidRPr="008E51D9">
        <w:rPr>
          <w:rFonts w:ascii="Times New Roman" w:hAnsi="Times New Roman" w:cs="Times New Roman"/>
          <w:sz w:val="24"/>
          <w:szCs w:val="24"/>
        </w:rPr>
        <w:t>(biznesem, uczelniami, organizacjami pozarządowymi).</w:t>
      </w:r>
      <w:r w:rsidR="00061C7B">
        <w:rPr>
          <w:rFonts w:ascii="Times New Roman" w:hAnsi="Times New Roman" w:cs="Times New Roman"/>
          <w:sz w:val="24"/>
          <w:szCs w:val="24"/>
        </w:rPr>
        <w:t xml:space="preserve"> W efekcie wzmocni się hub wiedzy w Polsce Północnej</w:t>
      </w:r>
      <w:r w:rsidR="009246F9">
        <w:rPr>
          <w:rFonts w:ascii="Times New Roman" w:hAnsi="Times New Roman" w:cs="Times New Roman"/>
          <w:sz w:val="24"/>
          <w:szCs w:val="24"/>
        </w:rPr>
        <w:t>,</w:t>
      </w:r>
      <w:r w:rsidR="00061C7B">
        <w:rPr>
          <w:rFonts w:ascii="Times New Roman" w:hAnsi="Times New Roman" w:cs="Times New Roman"/>
          <w:sz w:val="24"/>
          <w:szCs w:val="24"/>
        </w:rPr>
        <w:t xml:space="preserve"> co będzie z korzyścią dla całego kraju</w:t>
      </w:r>
      <w:r w:rsidR="0039688A">
        <w:rPr>
          <w:rFonts w:ascii="Times New Roman" w:hAnsi="Times New Roman" w:cs="Times New Roman"/>
          <w:sz w:val="24"/>
          <w:szCs w:val="24"/>
        </w:rPr>
        <w:t>,</w:t>
      </w:r>
      <w:r w:rsidR="00061C7B">
        <w:rPr>
          <w:rFonts w:ascii="Times New Roman" w:hAnsi="Times New Roman" w:cs="Times New Roman"/>
          <w:sz w:val="24"/>
          <w:szCs w:val="24"/>
        </w:rPr>
        <w:t xml:space="preserve"> w tym dla Pomorza. </w:t>
      </w:r>
      <w:r w:rsidR="005327B4" w:rsidRPr="005327B4">
        <w:rPr>
          <w:rFonts w:ascii="Times New Roman" w:hAnsi="Times New Roman" w:cs="Times New Roman"/>
          <w:sz w:val="24"/>
          <w:szCs w:val="24"/>
        </w:rPr>
        <w:t xml:space="preserve">Zarząd OMGGS będzie także mógł </w:t>
      </w:r>
      <w:r w:rsidR="005327B4" w:rsidRPr="000E7E35">
        <w:rPr>
          <w:rFonts w:ascii="Times New Roman" w:hAnsi="Times New Roman" w:cs="Times New Roman"/>
          <w:sz w:val="24"/>
          <w:szCs w:val="24"/>
        </w:rPr>
        <w:t>p</w:t>
      </w:r>
      <w:r w:rsidR="00DB3777" w:rsidRPr="00DB3777">
        <w:rPr>
          <w:rFonts w:ascii="Times New Roman" w:hAnsi="Times New Roman" w:cs="Times New Roman"/>
          <w:sz w:val="24"/>
          <w:szCs w:val="24"/>
        </w:rPr>
        <w:t>romować akumulację kapitału ludzkiego poprzez skoordynowane programy edukacyjne i rozwój kompetencji</w:t>
      </w:r>
      <w:r w:rsidR="005327B4" w:rsidRPr="005327B4">
        <w:rPr>
          <w:sz w:val="24"/>
          <w:szCs w:val="24"/>
        </w:rPr>
        <w:t>.</w:t>
      </w:r>
      <w:r w:rsidR="00247359">
        <w:rPr>
          <w:sz w:val="24"/>
          <w:szCs w:val="24"/>
        </w:rPr>
        <w:t xml:space="preserve"> </w:t>
      </w:r>
      <w:r w:rsidR="004A73B3">
        <w:rPr>
          <w:rFonts w:ascii="Times New Roman" w:hAnsi="Times New Roman" w:cs="Times New Roman"/>
          <w:sz w:val="24"/>
          <w:szCs w:val="24"/>
        </w:rPr>
        <w:t xml:space="preserve">W tym zakresie warto sięgnąć do typologii regionów </w:t>
      </w:r>
      <w:r w:rsidR="004A73B3" w:rsidRPr="002620D1">
        <w:rPr>
          <w:rFonts w:ascii="Times New Roman" w:hAnsi="Times New Roman" w:cs="Times New Roman"/>
          <w:sz w:val="24"/>
          <w:szCs w:val="24"/>
        </w:rPr>
        <w:t xml:space="preserve">innowacyjnych projektu KIT (ESPON </w:t>
      </w:r>
      <w:r w:rsidR="00E40FDE" w:rsidRPr="002620D1">
        <w:rPr>
          <w:rFonts w:ascii="Times New Roman" w:hAnsi="Times New Roman" w:cs="Times New Roman"/>
          <w:sz w:val="24"/>
          <w:szCs w:val="24"/>
        </w:rPr>
        <w:t>2012)</w:t>
      </w:r>
      <w:r w:rsidR="002620D1" w:rsidRPr="002620D1">
        <w:rPr>
          <w:rFonts w:ascii="Times New Roman" w:hAnsi="Times New Roman" w:cs="Times New Roman"/>
          <w:sz w:val="24"/>
          <w:szCs w:val="24"/>
        </w:rPr>
        <w:t xml:space="preserve">, a patrząc na zawarte w nim analizy można sądzić, </w:t>
      </w:r>
      <w:r w:rsidR="0013767F">
        <w:rPr>
          <w:rFonts w:ascii="Times New Roman" w:hAnsi="Times New Roman" w:cs="Times New Roman"/>
          <w:sz w:val="24"/>
          <w:szCs w:val="24"/>
        </w:rPr>
        <w:t>ż</w:t>
      </w:r>
      <w:r w:rsidR="002620D1" w:rsidRPr="002620D1">
        <w:rPr>
          <w:rFonts w:ascii="Times New Roman" w:hAnsi="Times New Roman" w:cs="Times New Roman"/>
          <w:sz w:val="24"/>
          <w:szCs w:val="24"/>
        </w:rPr>
        <w:t>e formalizacja OMGGS pozwoli na Pomorzu stworzyć region kreatywnego wdrażania nowoczesnych i innowacyjnych rozwiązań</w:t>
      </w:r>
      <w:r w:rsidR="00AF096B">
        <w:rPr>
          <w:rFonts w:ascii="Times New Roman" w:hAnsi="Times New Roman" w:cs="Times New Roman"/>
          <w:sz w:val="24"/>
          <w:szCs w:val="24"/>
        </w:rPr>
        <w:t xml:space="preserve"> technologicznych</w:t>
      </w:r>
      <w:r w:rsidR="002620D1" w:rsidRPr="002620D1">
        <w:rPr>
          <w:rFonts w:ascii="Times New Roman" w:hAnsi="Times New Roman" w:cs="Times New Roman"/>
          <w:sz w:val="24"/>
          <w:szCs w:val="24"/>
        </w:rPr>
        <w:t xml:space="preserve"> (tzw. </w:t>
      </w:r>
      <w:r w:rsidR="002620D1" w:rsidRPr="0038316D">
        <w:rPr>
          <w:rFonts w:ascii="Times New Roman" w:hAnsi="Times New Roman" w:cs="Times New Roman"/>
          <w:i/>
          <w:sz w:val="24"/>
          <w:szCs w:val="24"/>
        </w:rPr>
        <w:t>Smart technological application area</w:t>
      </w:r>
      <w:r w:rsidR="002620D1" w:rsidRPr="002620D1">
        <w:rPr>
          <w:rFonts w:ascii="Times New Roman" w:hAnsi="Times New Roman" w:cs="Times New Roman"/>
          <w:sz w:val="24"/>
          <w:szCs w:val="24"/>
        </w:rPr>
        <w:t>).</w:t>
      </w:r>
      <w:r w:rsidR="009246F9">
        <w:rPr>
          <w:rFonts w:ascii="Times New Roman" w:hAnsi="Times New Roman" w:cs="Times New Roman"/>
          <w:sz w:val="24"/>
          <w:szCs w:val="24"/>
        </w:rPr>
        <w:t xml:space="preserve"> Wysokiej jakości  miejsca pracy w tego typu regionie będą skutkować wzrostem bazy podatkowej OMGGS.</w:t>
      </w:r>
    </w:p>
    <w:p w14:paraId="6BB6733F" w14:textId="77777777" w:rsidR="004A73B3" w:rsidRPr="00E83B8A" w:rsidRDefault="00DB3777" w:rsidP="004A73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będzie miała pozytywny wpływ gospodarczy na przekształcenia  Pomorza w dobrze funkcjonujący region kreatywnego wdrażania nowoczesnych i innowacyjnych rozwiązań technologicznych. W efekcie nastąpi poszerzenie bazy podatkowej OMGGS</w:t>
      </w:r>
      <w:r w:rsidR="00F43669">
        <w:rPr>
          <w:rFonts w:ascii="Times New Roman" w:hAnsi="Times New Roman" w:cs="Times New Roman"/>
          <w:sz w:val="24"/>
          <w:szCs w:val="24"/>
        </w:rPr>
        <w:t>.</w:t>
      </w:r>
    </w:p>
    <w:p w14:paraId="51702E33" w14:textId="77777777" w:rsidR="009F10BB" w:rsidRPr="004A73B3" w:rsidRDefault="009F10BB" w:rsidP="0013767F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A73B3">
        <w:rPr>
          <w:rFonts w:ascii="Times New Roman" w:hAnsi="Times New Roman" w:cs="Times New Roman"/>
          <w:b/>
          <w:sz w:val="24"/>
          <w:szCs w:val="24"/>
        </w:rPr>
        <w:t xml:space="preserve">Pozyskiwanie </w:t>
      </w:r>
      <w:r w:rsidR="0046621F" w:rsidRPr="004A73B3">
        <w:rPr>
          <w:rFonts w:ascii="Times New Roman" w:hAnsi="Times New Roman" w:cs="Times New Roman"/>
          <w:b/>
          <w:sz w:val="24"/>
          <w:szCs w:val="24"/>
        </w:rPr>
        <w:t>inwestorów</w:t>
      </w:r>
    </w:p>
    <w:p w14:paraId="57A92D2C" w14:textId="185A0EC4" w:rsidR="0046621F" w:rsidRPr="00F43669" w:rsidRDefault="0013767F" w:rsidP="004A73B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43669">
        <w:rPr>
          <w:rFonts w:ascii="Times New Roman" w:hAnsi="Times New Roman" w:cs="Times New Roman"/>
          <w:sz w:val="24"/>
          <w:szCs w:val="24"/>
        </w:rPr>
        <w:t xml:space="preserve">pozyskiwaniu inwestorów zagranicznych była już mowa przy okazji korzyści wizerunkowych. </w:t>
      </w:r>
      <w:r w:rsidR="0039688A">
        <w:rPr>
          <w:rFonts w:ascii="Times New Roman" w:hAnsi="Times New Roman" w:cs="Times New Roman"/>
          <w:sz w:val="24"/>
          <w:szCs w:val="24"/>
        </w:rPr>
        <w:t>OMGGS z formalnym zarządzaniem</w:t>
      </w:r>
      <w:r w:rsidR="005327B4" w:rsidRPr="005327B4">
        <w:rPr>
          <w:rFonts w:ascii="Times New Roman" w:hAnsi="Times New Roman" w:cs="Times New Roman"/>
          <w:sz w:val="24"/>
          <w:szCs w:val="24"/>
        </w:rPr>
        <w:t xml:space="preserve"> mogłoby przyciągać korporacje międzynarodowe i budować ekosystemy dostawców, podobnie jak region metropolitalny Stuttgartu w Niemczech.</w:t>
      </w:r>
      <w:r w:rsidR="00247359">
        <w:rPr>
          <w:rFonts w:ascii="Times New Roman" w:hAnsi="Times New Roman" w:cs="Times New Roman"/>
          <w:sz w:val="24"/>
          <w:szCs w:val="24"/>
        </w:rPr>
        <w:t xml:space="preserve"> </w:t>
      </w:r>
      <w:r w:rsidRPr="00F43669">
        <w:rPr>
          <w:rFonts w:ascii="Times New Roman" w:hAnsi="Times New Roman" w:cs="Times New Roman"/>
          <w:sz w:val="24"/>
          <w:szCs w:val="24"/>
        </w:rPr>
        <w:t xml:space="preserve">Sam wizerunek nie wystarcza </w:t>
      </w:r>
      <w:r w:rsidR="005327B4">
        <w:rPr>
          <w:rFonts w:ascii="Times New Roman" w:hAnsi="Times New Roman" w:cs="Times New Roman"/>
          <w:sz w:val="24"/>
          <w:szCs w:val="24"/>
        </w:rPr>
        <w:t xml:space="preserve">jednak </w:t>
      </w:r>
      <w:r w:rsidRPr="00F43669">
        <w:rPr>
          <w:rFonts w:ascii="Times New Roman" w:hAnsi="Times New Roman" w:cs="Times New Roman"/>
          <w:sz w:val="24"/>
          <w:szCs w:val="24"/>
        </w:rPr>
        <w:t xml:space="preserve">do osiągnięcia sukcesu </w:t>
      </w:r>
      <w:r w:rsidR="000E7E35">
        <w:rPr>
          <w:rFonts w:ascii="Times New Roman" w:hAnsi="Times New Roman" w:cs="Times New Roman"/>
          <w:sz w:val="24"/>
          <w:szCs w:val="24"/>
        </w:rPr>
        <w:br/>
      </w:r>
      <w:r w:rsidRPr="00F43669">
        <w:rPr>
          <w:rFonts w:ascii="Times New Roman" w:hAnsi="Times New Roman" w:cs="Times New Roman"/>
          <w:sz w:val="24"/>
          <w:szCs w:val="24"/>
        </w:rPr>
        <w:t>w tym zakresie. Potrzebny jest spójny proces  obsługi i dialogu z inwestorami zarówno krajowymi</w:t>
      </w:r>
      <w:r w:rsidR="0039688A">
        <w:rPr>
          <w:rFonts w:ascii="Times New Roman" w:hAnsi="Times New Roman" w:cs="Times New Roman"/>
          <w:sz w:val="24"/>
          <w:szCs w:val="24"/>
        </w:rPr>
        <w:t>,</w:t>
      </w:r>
      <w:r w:rsidRPr="00F43669">
        <w:rPr>
          <w:rFonts w:ascii="Times New Roman" w:hAnsi="Times New Roman" w:cs="Times New Roman"/>
          <w:sz w:val="24"/>
          <w:szCs w:val="24"/>
        </w:rPr>
        <w:t xml:space="preserve"> jak i zagranicznymi. </w:t>
      </w:r>
      <w:r w:rsidR="00F43669" w:rsidRPr="00F43669">
        <w:rPr>
          <w:rFonts w:ascii="Times New Roman" w:hAnsi="Times New Roman" w:cs="Times New Roman"/>
          <w:sz w:val="24"/>
          <w:szCs w:val="24"/>
        </w:rPr>
        <w:t>W województwie pomorskim funkcjonują Invest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="00F43669" w:rsidRPr="00F43669">
        <w:rPr>
          <w:rFonts w:ascii="Times New Roman" w:hAnsi="Times New Roman" w:cs="Times New Roman"/>
          <w:sz w:val="24"/>
          <w:szCs w:val="24"/>
        </w:rPr>
        <w:t xml:space="preserve">GDA (Gdańska Agencja Rozwoju Gospodarczego Sp. z o.o.) i Invest in Pomerania . Obie organizacje notują spore sukcesy.  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>Jednak nie w pe</w:t>
      </w:r>
      <w:r w:rsidR="000E7E35">
        <w:rPr>
          <w:rFonts w:ascii="Times New Roman" w:hAnsi="Times New Roman" w:cs="Times New Roman"/>
          <w:sz w:val="24"/>
          <w:szCs w:val="24"/>
          <w:u w:val="single"/>
        </w:rPr>
        <w:t>ł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>ni eli</w:t>
      </w:r>
      <w:r w:rsidR="00024F7C">
        <w:rPr>
          <w:rFonts w:ascii="Times New Roman" w:hAnsi="Times New Roman" w:cs="Times New Roman"/>
          <w:sz w:val="24"/>
          <w:szCs w:val="24"/>
          <w:u w:val="single"/>
        </w:rPr>
        <w:t>min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>uje to wspomnianą już jazdę na gapę i  konkurencj</w:t>
      </w:r>
      <w:r w:rsidR="00024F7C">
        <w:rPr>
          <w:rFonts w:ascii="Times New Roman" w:hAnsi="Times New Roman" w:cs="Times New Roman"/>
          <w:sz w:val="24"/>
          <w:szCs w:val="24"/>
          <w:u w:val="single"/>
        </w:rPr>
        <w:t>ę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 xml:space="preserve"> mi</w:t>
      </w:r>
      <w:r w:rsidR="0039688A">
        <w:rPr>
          <w:rFonts w:ascii="Times New Roman" w:hAnsi="Times New Roman" w:cs="Times New Roman"/>
          <w:sz w:val="24"/>
          <w:szCs w:val="24"/>
          <w:u w:val="single"/>
        </w:rPr>
        <w:t>ę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>dzy samorządami terytorialnymi tego samego obszar</w:t>
      </w:r>
      <w:r w:rsidR="00024F7C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 xml:space="preserve"> funkcjonalnego.</w:t>
      </w:r>
      <w:r w:rsidR="00396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1D9" w:rsidRPr="00F43669">
        <w:rPr>
          <w:rFonts w:ascii="Times New Roman" w:hAnsi="Times New Roman" w:cs="Times New Roman"/>
          <w:sz w:val="24"/>
          <w:szCs w:val="24"/>
        </w:rPr>
        <w:t>Formal</w:t>
      </w:r>
      <w:r w:rsidR="00F43669" w:rsidRPr="00F43669">
        <w:rPr>
          <w:rFonts w:ascii="Times New Roman" w:hAnsi="Times New Roman" w:cs="Times New Roman"/>
          <w:sz w:val="24"/>
          <w:szCs w:val="24"/>
        </w:rPr>
        <w:t>ne zinstytucjonalizowanie OMGGS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 stworzy </w:t>
      </w:r>
      <w:r w:rsidR="00F43669" w:rsidRPr="00F43669">
        <w:rPr>
          <w:rFonts w:ascii="Times New Roman" w:hAnsi="Times New Roman" w:cs="Times New Roman"/>
          <w:sz w:val="24"/>
          <w:szCs w:val="24"/>
        </w:rPr>
        <w:t>dodatkowy podmiot pozwalający na lepsz</w:t>
      </w:r>
      <w:r w:rsidR="0039688A">
        <w:rPr>
          <w:rFonts w:ascii="Times New Roman" w:hAnsi="Times New Roman" w:cs="Times New Roman"/>
          <w:sz w:val="24"/>
          <w:szCs w:val="24"/>
        </w:rPr>
        <w:t>ą</w:t>
      </w:r>
      <w:r w:rsidR="00F43669" w:rsidRPr="00F43669">
        <w:rPr>
          <w:rFonts w:ascii="Times New Roman" w:hAnsi="Times New Roman" w:cs="Times New Roman"/>
          <w:sz w:val="24"/>
          <w:szCs w:val="24"/>
        </w:rPr>
        <w:t xml:space="preserve"> koordynację</w:t>
      </w:r>
      <w:r w:rsidR="0039688A">
        <w:rPr>
          <w:rFonts w:ascii="Times New Roman" w:hAnsi="Times New Roman" w:cs="Times New Roman"/>
          <w:sz w:val="24"/>
          <w:szCs w:val="24"/>
        </w:rPr>
        <w:t xml:space="preserve"> </w:t>
      </w:r>
      <w:r w:rsidR="00F43669" w:rsidRPr="00F43669">
        <w:rPr>
          <w:rFonts w:ascii="Times New Roman" w:hAnsi="Times New Roman" w:cs="Times New Roman"/>
          <w:sz w:val="24"/>
          <w:szCs w:val="24"/>
        </w:rPr>
        <w:t xml:space="preserve">działań 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gmin obszaru metropolitalnego </w:t>
      </w:r>
      <w:r w:rsidR="00F43669" w:rsidRPr="00F43669">
        <w:rPr>
          <w:rFonts w:ascii="Times New Roman" w:hAnsi="Times New Roman" w:cs="Times New Roman"/>
          <w:sz w:val="24"/>
          <w:szCs w:val="24"/>
        </w:rPr>
        <w:t>w stosunku do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 inwestycj</w:t>
      </w:r>
      <w:r w:rsidR="00F43669" w:rsidRPr="00F43669">
        <w:rPr>
          <w:rFonts w:ascii="Times New Roman" w:hAnsi="Times New Roman" w:cs="Times New Roman"/>
          <w:sz w:val="24"/>
          <w:szCs w:val="24"/>
        </w:rPr>
        <w:t>i</w:t>
      </w:r>
      <w:r w:rsidR="0039688A">
        <w:rPr>
          <w:rFonts w:ascii="Times New Roman" w:hAnsi="Times New Roman" w:cs="Times New Roman"/>
          <w:sz w:val="24"/>
          <w:szCs w:val="24"/>
        </w:rPr>
        <w:t xml:space="preserve"> oraz koordynację inwestycji z politykami metropolitalnymi, np. transportową, czy bezpieczeństwa</w:t>
      </w:r>
      <w:r w:rsidR="00F43669" w:rsidRPr="00F43669">
        <w:rPr>
          <w:rFonts w:ascii="Times New Roman" w:hAnsi="Times New Roman" w:cs="Times New Roman"/>
          <w:sz w:val="24"/>
          <w:szCs w:val="24"/>
        </w:rPr>
        <w:t>. Szczególnie ważne są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 negatywne koszty zewnętrzne (np. kongesti</w:t>
      </w:r>
      <w:r w:rsidR="0039688A">
        <w:rPr>
          <w:rFonts w:ascii="Times New Roman" w:hAnsi="Times New Roman" w:cs="Times New Roman"/>
          <w:sz w:val="24"/>
          <w:szCs w:val="24"/>
        </w:rPr>
        <w:t>ę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 transportową)</w:t>
      </w:r>
      <w:r w:rsidR="0039688A">
        <w:rPr>
          <w:rFonts w:ascii="Times New Roman" w:hAnsi="Times New Roman" w:cs="Times New Roman"/>
          <w:sz w:val="24"/>
          <w:szCs w:val="24"/>
        </w:rPr>
        <w:t xml:space="preserve"> </w:t>
      </w:r>
      <w:r w:rsidR="00F43669" w:rsidRPr="00F43669">
        <w:rPr>
          <w:rFonts w:ascii="Times New Roman" w:hAnsi="Times New Roman" w:cs="Times New Roman"/>
          <w:sz w:val="24"/>
          <w:szCs w:val="24"/>
        </w:rPr>
        <w:t>w wyniku nowych inwestycji</w:t>
      </w:r>
      <w:r w:rsidR="0046621F" w:rsidRPr="00F43669">
        <w:rPr>
          <w:rFonts w:ascii="Times New Roman" w:hAnsi="Times New Roman" w:cs="Times New Roman"/>
          <w:sz w:val="24"/>
          <w:szCs w:val="24"/>
        </w:rPr>
        <w:t>. Skoordynowana polityka metropolii wobec bezpośrednich inwestycji zagranicznych (BIZ) i krajowych pozwoli n</w:t>
      </w:r>
      <w:r w:rsidR="00F43669" w:rsidRPr="00F43669">
        <w:rPr>
          <w:rFonts w:ascii="Times New Roman" w:hAnsi="Times New Roman" w:cs="Times New Roman"/>
          <w:sz w:val="24"/>
          <w:szCs w:val="24"/>
        </w:rPr>
        <w:t>a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 zmniejszenie kosztów lokowania tych inwestycji, w tym kosztów zewnętrzn</w:t>
      </w:r>
      <w:r w:rsidR="00F43669" w:rsidRPr="00F43669">
        <w:rPr>
          <w:rFonts w:ascii="Times New Roman" w:hAnsi="Times New Roman" w:cs="Times New Roman"/>
          <w:sz w:val="24"/>
          <w:szCs w:val="24"/>
        </w:rPr>
        <w:t>ych ponoszonych przez gminy nie</w:t>
      </w:r>
      <w:r w:rsidR="0046621F" w:rsidRPr="00F43669">
        <w:rPr>
          <w:rFonts w:ascii="Times New Roman" w:hAnsi="Times New Roman" w:cs="Times New Roman"/>
          <w:sz w:val="24"/>
          <w:szCs w:val="24"/>
        </w:rPr>
        <w:t xml:space="preserve">czerpiące z nich finansowych </w:t>
      </w:r>
      <w:r w:rsidR="009067AD" w:rsidRPr="00F43669">
        <w:rPr>
          <w:rFonts w:ascii="Times New Roman" w:hAnsi="Times New Roman" w:cs="Times New Roman"/>
          <w:sz w:val="24"/>
          <w:szCs w:val="24"/>
        </w:rPr>
        <w:t xml:space="preserve">korzyści. </w:t>
      </w:r>
      <w:r w:rsidR="00F43669" w:rsidRPr="00F43669">
        <w:rPr>
          <w:rFonts w:ascii="Times New Roman" w:hAnsi="Times New Roman" w:cs="Times New Roman"/>
          <w:sz w:val="24"/>
          <w:szCs w:val="24"/>
        </w:rPr>
        <w:t xml:space="preserve">Najważniejszą jednak korzyścią będzie wzrost wpływów podatkowych  na poziomie gmin i metropolii. </w:t>
      </w:r>
      <w:r w:rsidR="00F43669" w:rsidRPr="00F43669">
        <w:rPr>
          <w:rFonts w:ascii="Times New Roman" w:hAnsi="Times New Roman" w:cs="Times New Roman"/>
          <w:sz w:val="24"/>
          <w:szCs w:val="24"/>
          <w:u w:val="single"/>
        </w:rPr>
        <w:t>Wzrost bazy podatkowej będzie miał charakter kumulatywnego samonapędzającego się procesu</w:t>
      </w:r>
      <w:r w:rsidR="00F43669" w:rsidRPr="00F43669">
        <w:rPr>
          <w:rFonts w:ascii="Times New Roman" w:hAnsi="Times New Roman" w:cs="Times New Roman"/>
          <w:sz w:val="24"/>
          <w:szCs w:val="24"/>
        </w:rPr>
        <w:t>, pozwalającego nawet na stopniowe redukowanie zasilania zewnętrznego dla OMGGS w dłuż</w:t>
      </w:r>
      <w:r w:rsidR="0039688A">
        <w:rPr>
          <w:rFonts w:ascii="Times New Roman" w:hAnsi="Times New Roman" w:cs="Times New Roman"/>
          <w:sz w:val="24"/>
          <w:szCs w:val="24"/>
        </w:rPr>
        <w:t>szym</w:t>
      </w:r>
      <w:r w:rsidR="00F43669" w:rsidRPr="00F43669">
        <w:rPr>
          <w:rFonts w:ascii="Times New Roman" w:hAnsi="Times New Roman" w:cs="Times New Roman"/>
          <w:sz w:val="24"/>
          <w:szCs w:val="24"/>
        </w:rPr>
        <w:t xml:space="preserve"> horyzoncie czasowym. Lepsze miejsca pracy, właściwe inwestycje publiczne, przyciągną wysokiej jakości kapitał ludzki, tj. osoby płacące wyższe podatki, to z kolei będzie </w:t>
      </w:r>
      <w:r w:rsidR="0039688A">
        <w:rPr>
          <w:rFonts w:ascii="Times New Roman" w:hAnsi="Times New Roman" w:cs="Times New Roman"/>
          <w:sz w:val="24"/>
          <w:szCs w:val="24"/>
        </w:rPr>
        <w:t xml:space="preserve">sprzyjać </w:t>
      </w:r>
      <w:r w:rsidR="00F43669" w:rsidRPr="00F43669">
        <w:rPr>
          <w:rFonts w:ascii="Times New Roman" w:hAnsi="Times New Roman" w:cs="Times New Roman"/>
          <w:sz w:val="24"/>
          <w:szCs w:val="24"/>
        </w:rPr>
        <w:t>napływowi inwestorów prywatnych.</w:t>
      </w:r>
    </w:p>
    <w:p w14:paraId="1036D83D" w14:textId="77777777" w:rsidR="00E8767A" w:rsidRPr="00024F7C" w:rsidRDefault="00DB3777" w:rsidP="00E876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lastRenderedPageBreak/>
        <w:t>TEZA: formalizacja OMGGS ułatwi pozyskiwanie i obsługę potencjalnych inwestorów i poszerzy bazę podatkową OMGGS.</w:t>
      </w:r>
    </w:p>
    <w:p w14:paraId="23125B2D" w14:textId="77777777" w:rsidR="007F354A" w:rsidRDefault="007F354A" w:rsidP="007F35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4A">
        <w:rPr>
          <w:rFonts w:ascii="Times New Roman" w:hAnsi="Times New Roman" w:cs="Times New Roman"/>
          <w:b/>
          <w:sz w:val="24"/>
          <w:szCs w:val="24"/>
        </w:rPr>
        <w:t>Bezpieczeństwo.</w:t>
      </w:r>
    </w:p>
    <w:p w14:paraId="12409DF9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bezpieczeństwem jest kluczowym obszarem, który mógłby być znacząco usprawniony w ramach formalizacji </w:t>
      </w:r>
      <w:r w:rsidR="0039688A">
        <w:rPr>
          <w:rFonts w:ascii="Times New Roman" w:eastAsia="Times New Roman" w:hAnsi="Times New Roman" w:cs="Times New Roman"/>
          <w:sz w:val="24"/>
          <w:szCs w:val="24"/>
          <w:lang w:eastAsia="pl-PL"/>
        </w:rPr>
        <w:t>OMGGS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. Skuteczna koordynacja działań w zakresie bezpieczeństwa publicznego, zarządzania kryzysowego i prewencji może przynieść wymierne korzyści w tak złożonym, policentrycznym regionie.</w:t>
      </w:r>
    </w:p>
    <w:p w14:paraId="53F91E04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Zarządzanie kryzysowe i ochrona ludności</w:t>
      </w:r>
    </w:p>
    <w:p w14:paraId="17016103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Formalizacja metropolii pozwoliłaby na skoordynowane zarządzanie w sytuacjach kryzysowych, takich jak powodzie, pożary, ataki cybernetyczne, czy pandemie.</w:t>
      </w:r>
    </w:p>
    <w:p w14:paraId="2AF37699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zintegrowanego metropolitalnego systemu ostrzegania i reagowania kryzysowego (np. aplikacje mobilne ostrzegające mieszkańców przed zagrożeniami).</w:t>
      </w:r>
    </w:p>
    <w:p w14:paraId="5919A27F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służb ratunkowych (straży pożarnej, policji, pogotowia) na poziomie metropolitalnym, co przyspieszyłoby reakcję na zagrożenia.</w:t>
      </w:r>
    </w:p>
    <w:p w14:paraId="477BD6F3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budowy infrastruktury bezpieczeństwa – schrony, miejsca schronienia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208EF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Bezpieczeństwo publiczne i porządek</w:t>
      </w:r>
    </w:p>
    <w:p w14:paraId="044D9ECE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Formalizacja OMGGS umożliwiłaby zintegrowane podejście do kwestii porządku publicznego i działań prewencyjnych:</w:t>
      </w:r>
    </w:p>
    <w:p w14:paraId="30D2008E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Lepsza koor</w:t>
      </w:r>
      <w:r w:rsidR="0039688A">
        <w:rPr>
          <w:rFonts w:ascii="Times New Roman" w:eastAsia="Times New Roman" w:hAnsi="Times New Roman" w:cs="Times New Roman"/>
          <w:sz w:val="24"/>
          <w:szCs w:val="24"/>
          <w:lang w:eastAsia="pl-PL"/>
        </w:rPr>
        <w:t>dynacja policji metropolitalnej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obejmująca współpracę w zakresie patrolowania, dochodzeń oraz działań prewencyjnych na obszarze całej metropolii</w:t>
      </w:r>
      <w:r w:rsidR="003968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i koordynację działań straży miejskiej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6C1883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Ujednolicenie systemów monitoringu miejskiego oraz wprowadzenie inteligentnych technologii monitorujących obszary wysokiego ryzyka w oparciu o nadzór wspomagany AI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F513A8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wspólnego programu prewencji przestępczości, np. poprzez działania edukacyjne w szkołach i kampanie społeczne dotyczące bezpieczeństwa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00B78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Cyberbezpieczeństwo</w:t>
      </w:r>
    </w:p>
    <w:p w14:paraId="01C4C29B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metropolie są szczególnie narażone na zagrożenia w cyberprzestrzeni, takie jak ataki hakerskie na infrastrukturę krytyczną (np. wodociągi, sieci energetyczne, transport publiczny). Formalizacja metropolii mogłaby obejmować:</w:t>
      </w:r>
    </w:p>
    <w:p w14:paraId="746A56C6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centrum cyberbezpieczeństwa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 za monitorowanie i reagowanie na cyberataki na infrastrukturę publiczną i prywatną.</w:t>
      </w:r>
    </w:p>
    <w:p w14:paraId="2E8FD90D" w14:textId="77777777" w:rsidR="007F354A" w:rsidRPr="007F354A" w:rsidRDefault="007F354A" w:rsidP="007F354A">
      <w:pPr>
        <w:spacing w:after="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standardów bezpieczeństwa dla systemów IT używanych przez instytucje publiczne i operatorów infrastruktury krytycznej.</w:t>
      </w:r>
    </w:p>
    <w:p w14:paraId="5F86A083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Symbol" w:eastAsia="Times New Roman" w:hAnsi="Symbol" w:cs="Arial"/>
          <w:sz w:val="24"/>
          <w:szCs w:val="24"/>
          <w:lang w:eastAsia="pl-PL"/>
        </w:rPr>
        <w:t></w:t>
      </w:r>
      <w:r w:rsidRPr="007F354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Edukację mieszkańców </w:t>
      </w:r>
      <w:r w:rsidR="0039688A">
        <w:rPr>
          <w:rFonts w:ascii="Times New Roman" w:eastAsia="Times New Roman" w:hAnsi="Times New Roman" w:cs="Times New Roman"/>
          <w:sz w:val="24"/>
          <w:szCs w:val="24"/>
          <w:lang w:eastAsia="pl-PL"/>
        </w:rPr>
        <w:t>− p</w:t>
      </w: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wspólnych szkoleń oraz symulacji dla służb ratunkowych i mieszkańców w celu zwiększenia gotowości na sytuacje kryzysowe.</w:t>
      </w:r>
    </w:p>
    <w:p w14:paraId="4AC8A4CB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Ochrona infrastruktury krytycznej</w:t>
      </w:r>
    </w:p>
    <w:p w14:paraId="0E66EC78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W metropoliach infrastruktura krytyczna, taka jak transport, energetyka czy wodociągi, wymaga szczególnej ochrony. Skonsolidowane zarządzanie mogłoby obejmować:</w:t>
      </w:r>
    </w:p>
    <w:p w14:paraId="1D8A8094" w14:textId="77777777" w:rsidR="007F354A" w:rsidRPr="007F354A" w:rsidRDefault="007F354A" w:rsidP="007F354A">
      <w:pPr>
        <w:numPr>
          <w:ilvl w:val="0"/>
          <w:numId w:val="15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Mapowanie infrastruktury krytycznej w całej metropolii i identyfikację potencjalnych zagrożeń (np. ataki, katastrofy naturalne).</w:t>
      </w:r>
    </w:p>
    <w:p w14:paraId="65735E18" w14:textId="77777777" w:rsidR="007F354A" w:rsidRPr="007F354A" w:rsidRDefault="007F354A" w:rsidP="007F354A">
      <w:pPr>
        <w:numPr>
          <w:ilvl w:val="0"/>
          <w:numId w:val="15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wspólnych audytów bezpieczeństwa oraz wdrażanie działań ochronnych, takich jak fizyczne zabezpieczenia obiektów.</w:t>
      </w:r>
    </w:p>
    <w:p w14:paraId="15ED9EA1" w14:textId="77777777" w:rsidR="007F354A" w:rsidRPr="007F354A" w:rsidRDefault="007F354A" w:rsidP="007F354A">
      <w:pPr>
        <w:numPr>
          <w:ilvl w:val="0"/>
          <w:numId w:val="15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systemów odporności na katastrofy, np. zapory przeciwpowodziowe czy rezerwowe źródła energii. </w:t>
      </w:r>
      <w:r w:rsidR="00F4439A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Pozwoli to na zmniejszenie negatywnych skutków gwałtownych zjawisk klimatycznych, choćby takich jak te które miały miejsce klika dni temu w rejonie  Środkowego Wybrzeża (zalania przez wodę morską).</w:t>
      </w:r>
    </w:p>
    <w:p w14:paraId="57EB4D25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Bezpieczeństwo w transporcie publicznym</w:t>
      </w:r>
    </w:p>
    <w:p w14:paraId="78FB694B" w14:textId="77777777" w:rsidR="007F354A" w:rsidRPr="007F354A" w:rsidRDefault="007F354A" w:rsidP="007F354A">
      <w:pPr>
        <w:spacing w:after="160" w:line="25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Metropolitalne zarządzanie transportem publicznym mogłoby obejmować:</w:t>
      </w:r>
    </w:p>
    <w:p w14:paraId="60034ED1" w14:textId="77777777" w:rsidR="007F354A" w:rsidRPr="007F354A" w:rsidRDefault="007F354A" w:rsidP="007F354A">
      <w:pPr>
        <w:numPr>
          <w:ilvl w:val="0"/>
          <w:numId w:val="16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liczby patroli bezpieczeństwa w środkach transportu publicznego i na dworcach.</w:t>
      </w:r>
    </w:p>
    <w:p w14:paraId="79F38967" w14:textId="77777777" w:rsidR="007F354A" w:rsidRPr="007F354A" w:rsidRDefault="007F354A" w:rsidP="007F354A">
      <w:pPr>
        <w:numPr>
          <w:ilvl w:val="0"/>
          <w:numId w:val="16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 systemów monitorowania i raportowania incydentów w czasie rzeczywistym, np. przez aplikacje mobilne dla pasażerów.</w:t>
      </w:r>
    </w:p>
    <w:p w14:paraId="0EEB40B0" w14:textId="77777777" w:rsidR="007F354A" w:rsidRPr="007F354A" w:rsidRDefault="007F354A" w:rsidP="007F354A">
      <w:pPr>
        <w:numPr>
          <w:ilvl w:val="0"/>
          <w:numId w:val="16"/>
        </w:numPr>
        <w:spacing w:after="160" w:line="256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dla pracowników transportu w zakresie reagowania na sytuacje kryzysowe, takie jak ataki czy zagrożenia zdrowotne.</w:t>
      </w:r>
    </w:p>
    <w:p w14:paraId="721D549C" w14:textId="77777777" w:rsidR="007F354A" w:rsidRPr="007F354A" w:rsidRDefault="007F354A" w:rsidP="007F354A">
      <w:pPr>
        <w:spacing w:after="160" w:line="240" w:lineRule="auto"/>
        <w:ind w:left="426"/>
        <w:rPr>
          <w:rFonts w:ascii="Arial" w:eastAsia="Times New Roman" w:hAnsi="Arial" w:cs="Arial"/>
          <w:i/>
          <w:lang w:eastAsia="pl-PL"/>
        </w:rPr>
      </w:pPr>
      <w:r w:rsidRPr="007F35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Edukacja i prewencja w zakresie bezpieczeństwa</w:t>
      </w:r>
    </w:p>
    <w:p w14:paraId="6A43D91C" w14:textId="77777777" w:rsidR="007F354A" w:rsidRPr="007F354A" w:rsidRDefault="007F354A" w:rsidP="007F354A">
      <w:pPr>
        <w:spacing w:after="160" w:line="240" w:lineRule="auto"/>
        <w:ind w:left="426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Formalizacja OMGGS mogłaby wspierać działania edukacyjne wśród mieszkańców:</w:t>
      </w:r>
    </w:p>
    <w:p w14:paraId="47ECEB80" w14:textId="77777777" w:rsidR="007F354A" w:rsidRPr="007F354A" w:rsidRDefault="007F354A" w:rsidP="007F354A">
      <w:pPr>
        <w:numPr>
          <w:ilvl w:val="0"/>
          <w:numId w:val="17"/>
        </w:numPr>
        <w:spacing w:after="160" w:line="240" w:lineRule="auto"/>
        <w:ind w:left="426" w:firstLine="0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warsztatów i kampanii społecznych na temat bezpieczeństwa w domu, w pracy i w przestrzeni publicznej.</w:t>
      </w:r>
    </w:p>
    <w:p w14:paraId="67136FA7" w14:textId="77777777" w:rsidR="007F354A" w:rsidRPr="007F354A" w:rsidRDefault="007F354A" w:rsidP="007F354A">
      <w:pPr>
        <w:numPr>
          <w:ilvl w:val="0"/>
          <w:numId w:val="17"/>
        </w:numPr>
        <w:spacing w:after="160" w:line="240" w:lineRule="auto"/>
        <w:ind w:left="426" w:firstLine="0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 zakresu pierwszej pomocy i postępowania w sytuacjach kryzysowych dla mieszkańców metropolii.</w:t>
      </w:r>
    </w:p>
    <w:p w14:paraId="6FAF57EB" w14:textId="77777777" w:rsidR="007F354A" w:rsidRPr="007F354A" w:rsidRDefault="007F354A" w:rsidP="007F354A">
      <w:pPr>
        <w:numPr>
          <w:ilvl w:val="0"/>
          <w:numId w:val="17"/>
        </w:numPr>
        <w:spacing w:after="160" w:line="240" w:lineRule="auto"/>
        <w:ind w:left="426" w:firstLine="0"/>
        <w:rPr>
          <w:rFonts w:ascii="Arial" w:eastAsia="Times New Roman" w:hAnsi="Arial" w:cs="Arial"/>
          <w:lang w:eastAsia="pl-PL"/>
        </w:rPr>
      </w:pPr>
      <w:r w:rsidRPr="007F354A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programów edukacyjnych dla dzieci i młodzieży dotyczących bezpieczeństwa cyfrowego, przemocy i przeciwdziałania przestępczości</w:t>
      </w:r>
      <w:r w:rsidR="00024F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CD50C" w14:textId="77777777" w:rsidR="007F354A" w:rsidRPr="00024F7C" w:rsidRDefault="00DB3777" w:rsidP="007F354A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TEZA: formalizacja OMGGS ułatwi zapewnienie bezpieczeństwa w OMGGS</w:t>
      </w:r>
      <w:r w:rsidR="00024F7C">
        <w:rPr>
          <w:rFonts w:ascii="Times New Roman" w:hAnsi="Times New Roman" w:cs="Times New Roman"/>
          <w:b/>
          <w:sz w:val="24"/>
          <w:szCs w:val="24"/>
        </w:rPr>
        <w:t>.</w:t>
      </w:r>
    </w:p>
    <w:p w14:paraId="3115FECF" w14:textId="77777777" w:rsidR="007F354A" w:rsidRDefault="007F354A" w:rsidP="004F1D3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DD0FAF" w14:textId="51F52BC0" w:rsidR="00733DDF" w:rsidRDefault="004F1D3F" w:rsidP="004F1D3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Formalizacja OMGGS przyniesie jeszcze jedną dodatkową korzyść dla Polski</w:t>
      </w:r>
      <w:r w:rsidR="00A264A4">
        <w:rPr>
          <w:rFonts w:ascii="Times New Roman" w:hAnsi="Times New Roman" w:cs="Times New Roman"/>
          <w:sz w:val="24"/>
          <w:szCs w:val="24"/>
        </w:rPr>
        <w:t>, jak</w:t>
      </w:r>
      <w:r w:rsidR="00AF096B">
        <w:rPr>
          <w:rFonts w:ascii="Times New Roman" w:hAnsi="Times New Roman" w:cs="Times New Roman"/>
          <w:sz w:val="24"/>
          <w:szCs w:val="24"/>
        </w:rPr>
        <w:t>ą</w:t>
      </w:r>
      <w:r w:rsidR="00A264A4">
        <w:rPr>
          <w:rFonts w:ascii="Times New Roman" w:hAnsi="Times New Roman" w:cs="Times New Roman"/>
          <w:sz w:val="24"/>
          <w:szCs w:val="24"/>
        </w:rPr>
        <w:t xml:space="preserve"> jest wzmocnienie</w:t>
      </w:r>
      <w:r>
        <w:rPr>
          <w:rFonts w:ascii="Times New Roman" w:hAnsi="Times New Roman" w:cs="Times New Roman"/>
          <w:sz w:val="24"/>
          <w:szCs w:val="24"/>
        </w:rPr>
        <w:t xml:space="preserve"> samej  metropolii </w:t>
      </w:r>
      <w:r w:rsidR="00A264A4">
        <w:rPr>
          <w:rFonts w:ascii="Times New Roman" w:hAnsi="Times New Roman" w:cs="Times New Roman"/>
          <w:sz w:val="24"/>
          <w:szCs w:val="24"/>
        </w:rPr>
        <w:t>t</w:t>
      </w:r>
      <w:r w:rsidR="00572CB2">
        <w:rPr>
          <w:rFonts w:ascii="Times New Roman" w:hAnsi="Times New Roman" w:cs="Times New Roman"/>
          <w:sz w:val="24"/>
          <w:szCs w:val="24"/>
        </w:rPr>
        <w:t>rójmiejskiej. Uruchomi ona</w:t>
      </w:r>
      <w:r>
        <w:rPr>
          <w:rFonts w:ascii="Times New Roman" w:hAnsi="Times New Roman" w:cs="Times New Roman"/>
          <w:sz w:val="24"/>
          <w:szCs w:val="24"/>
        </w:rPr>
        <w:t xml:space="preserve"> samonapędzające się sprzężenia zwrotne, które </w:t>
      </w:r>
      <w:r w:rsidR="00A264A4">
        <w:rPr>
          <w:rFonts w:ascii="Times New Roman" w:hAnsi="Times New Roman" w:cs="Times New Roman"/>
          <w:sz w:val="24"/>
          <w:szCs w:val="24"/>
        </w:rPr>
        <w:t>raz uruchomione</w:t>
      </w:r>
      <w:r>
        <w:rPr>
          <w:rFonts w:ascii="Times New Roman" w:hAnsi="Times New Roman" w:cs="Times New Roman"/>
          <w:sz w:val="24"/>
          <w:szCs w:val="24"/>
        </w:rPr>
        <w:t xml:space="preserve"> będą prowadziły do </w:t>
      </w:r>
      <w:r w:rsidR="00A264A4">
        <w:rPr>
          <w:rFonts w:ascii="Times New Roman" w:hAnsi="Times New Roman" w:cs="Times New Roman"/>
          <w:sz w:val="24"/>
          <w:szCs w:val="24"/>
        </w:rPr>
        <w:t xml:space="preserve">stopniowego (tzw. procesy kumulatywnej przyczynowości) </w:t>
      </w:r>
      <w:r>
        <w:rPr>
          <w:rFonts w:ascii="Times New Roman" w:hAnsi="Times New Roman" w:cs="Times New Roman"/>
          <w:sz w:val="24"/>
          <w:szCs w:val="24"/>
        </w:rPr>
        <w:t>wzmocnienia OMGGS we wszystkich wymiarach metropolit</w:t>
      </w:r>
      <w:r w:rsidR="00AF096B">
        <w:rPr>
          <w:rFonts w:ascii="Times New Roman" w:hAnsi="Times New Roman" w:cs="Times New Roman"/>
          <w:sz w:val="24"/>
          <w:szCs w:val="24"/>
        </w:rPr>
        <w:t>alnych tego obszaru</w:t>
      </w:r>
      <w:r w:rsidR="00572CB2">
        <w:rPr>
          <w:rFonts w:ascii="Times New Roman" w:hAnsi="Times New Roman" w:cs="Times New Roman"/>
          <w:sz w:val="24"/>
          <w:szCs w:val="24"/>
        </w:rPr>
        <w:t>,</w:t>
      </w:r>
      <w:r w:rsidR="00AF096B">
        <w:rPr>
          <w:rFonts w:ascii="Times New Roman" w:hAnsi="Times New Roman" w:cs="Times New Roman"/>
          <w:sz w:val="24"/>
          <w:szCs w:val="24"/>
        </w:rPr>
        <w:t xml:space="preserve"> czyli: masy</w:t>
      </w:r>
      <w:r>
        <w:rPr>
          <w:rFonts w:ascii="Times New Roman" w:hAnsi="Times New Roman" w:cs="Times New Roman"/>
          <w:sz w:val="24"/>
          <w:szCs w:val="24"/>
        </w:rPr>
        <w:t>, konkurencyjności</w:t>
      </w:r>
      <w:r w:rsidR="00AF09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powiązań i wiedzy.  Proces ten został </w:t>
      </w:r>
      <w:r w:rsidR="00AF096B">
        <w:rPr>
          <w:rFonts w:ascii="Times New Roman" w:hAnsi="Times New Roman" w:cs="Times New Roman"/>
          <w:sz w:val="24"/>
          <w:szCs w:val="24"/>
        </w:rPr>
        <w:t xml:space="preserve">naszkicowany </w:t>
      </w:r>
      <w:r>
        <w:rPr>
          <w:rFonts w:ascii="Times New Roman" w:hAnsi="Times New Roman" w:cs="Times New Roman"/>
          <w:sz w:val="24"/>
          <w:szCs w:val="24"/>
        </w:rPr>
        <w:t xml:space="preserve"> w poniższej matrycy</w:t>
      </w:r>
      <w:r w:rsidR="00AF096B">
        <w:rPr>
          <w:rFonts w:ascii="Times New Roman" w:hAnsi="Times New Roman" w:cs="Times New Roman"/>
          <w:sz w:val="24"/>
          <w:szCs w:val="24"/>
        </w:rPr>
        <w:t xml:space="preserve"> (tab.1)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F872A" w14:textId="77777777" w:rsidR="000B4C21" w:rsidRDefault="000B4C21" w:rsidP="004F1D3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E120E2" w14:textId="77777777" w:rsidR="004F1D3F" w:rsidRPr="00AF096B" w:rsidRDefault="004F1D3F" w:rsidP="004F1D3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96B">
        <w:rPr>
          <w:rFonts w:ascii="Times New Roman" w:hAnsi="Times New Roman" w:cs="Times New Roman"/>
          <w:sz w:val="24"/>
          <w:szCs w:val="24"/>
        </w:rPr>
        <w:t>Tab. 1</w:t>
      </w:r>
      <w:r w:rsidR="00AF096B">
        <w:rPr>
          <w:rFonts w:ascii="Times New Roman" w:hAnsi="Times New Roman" w:cs="Times New Roman"/>
          <w:sz w:val="24"/>
          <w:szCs w:val="24"/>
        </w:rPr>
        <w:t>.</w:t>
      </w:r>
      <w:r w:rsidRPr="00AF096B">
        <w:rPr>
          <w:rFonts w:ascii="Times New Roman" w:hAnsi="Times New Roman" w:cs="Times New Roman"/>
          <w:sz w:val="24"/>
          <w:szCs w:val="24"/>
        </w:rPr>
        <w:t xml:space="preserve"> Korzyści z formalizacji OMGGS i ich wpływ na wzmacnianie funkcji metropolitalnych OMGGS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1878"/>
        <w:gridCol w:w="1701"/>
        <w:gridCol w:w="2126"/>
      </w:tblGrid>
      <w:tr w:rsidR="00415685" w14:paraId="21064BBD" w14:textId="77777777" w:rsidTr="00383F74">
        <w:tc>
          <w:tcPr>
            <w:tcW w:w="2093" w:type="dxa"/>
          </w:tcPr>
          <w:p w14:paraId="71B77B01" w14:textId="77777777" w:rsidR="00415685" w:rsidRDefault="004F1D3F">
            <w:r>
              <w:t xml:space="preserve">Korzyści z formalizacji OMGGS </w:t>
            </w:r>
          </w:p>
        </w:tc>
        <w:tc>
          <w:tcPr>
            <w:tcW w:w="1949" w:type="dxa"/>
          </w:tcPr>
          <w:p w14:paraId="26F6CDB3" w14:textId="77777777" w:rsidR="00415685" w:rsidRDefault="00415685">
            <w:r>
              <w:t>Masa</w:t>
            </w:r>
          </w:p>
        </w:tc>
        <w:tc>
          <w:tcPr>
            <w:tcW w:w="1878" w:type="dxa"/>
          </w:tcPr>
          <w:p w14:paraId="653E1B13" w14:textId="77777777" w:rsidR="00415685" w:rsidRDefault="00415685">
            <w:r>
              <w:t>Konkurencyjność</w:t>
            </w:r>
          </w:p>
        </w:tc>
        <w:tc>
          <w:tcPr>
            <w:tcW w:w="1701" w:type="dxa"/>
          </w:tcPr>
          <w:p w14:paraId="1AA199F2" w14:textId="77777777" w:rsidR="00415685" w:rsidRDefault="00415685">
            <w:r>
              <w:t xml:space="preserve">Powiązania </w:t>
            </w:r>
          </w:p>
        </w:tc>
        <w:tc>
          <w:tcPr>
            <w:tcW w:w="2126" w:type="dxa"/>
          </w:tcPr>
          <w:p w14:paraId="449B9DEC" w14:textId="77777777" w:rsidR="00415685" w:rsidRDefault="00415685">
            <w:r>
              <w:t>Wiedza</w:t>
            </w:r>
          </w:p>
        </w:tc>
      </w:tr>
      <w:tr w:rsidR="00415685" w14:paraId="4D599D9D" w14:textId="77777777" w:rsidTr="00383F74">
        <w:tc>
          <w:tcPr>
            <w:tcW w:w="2093" w:type="dxa"/>
          </w:tcPr>
          <w:p w14:paraId="099465CF" w14:textId="77777777" w:rsidR="00415685" w:rsidRDefault="0046621F" w:rsidP="0046621F">
            <w:r>
              <w:t>1.</w:t>
            </w:r>
            <w:r w:rsidR="00415685">
              <w:t xml:space="preserve">Wpływ na </w:t>
            </w:r>
            <w:r>
              <w:t>p</w:t>
            </w:r>
            <w:r w:rsidR="00415685">
              <w:t>olityki UE</w:t>
            </w:r>
          </w:p>
        </w:tc>
        <w:tc>
          <w:tcPr>
            <w:tcW w:w="1949" w:type="dxa"/>
          </w:tcPr>
          <w:p w14:paraId="1D126901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Napływ funduszy  UE na rozwój metropolii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665304AE" w14:textId="77777777" w:rsidR="00415685" w:rsidRPr="009067AD" w:rsidRDefault="009067AD" w:rsidP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 xml:space="preserve">Wzrost produktywności </w:t>
            </w:r>
            <w:r w:rsidRPr="009067AD">
              <w:rPr>
                <w:sz w:val="20"/>
                <w:szCs w:val="20"/>
              </w:rPr>
              <w:lastRenderedPageBreak/>
              <w:t>dzięki funduszom UE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9E785B1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00A227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Napływ funduszy na B+R w metropoliach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0ADAB52D" w14:textId="77777777" w:rsidTr="00383F74">
        <w:tc>
          <w:tcPr>
            <w:tcW w:w="2093" w:type="dxa"/>
          </w:tcPr>
          <w:p w14:paraId="02007C03" w14:textId="77777777" w:rsidR="00415685" w:rsidRDefault="0046621F" w:rsidP="0046621F">
            <w:r>
              <w:t>2.</w:t>
            </w:r>
            <w:r w:rsidR="00415685">
              <w:t xml:space="preserve">Odnowiona Polityka </w:t>
            </w:r>
            <w:r>
              <w:t>S</w:t>
            </w:r>
            <w:r w:rsidR="00415685">
              <w:t>pójności</w:t>
            </w:r>
            <w:r w:rsidR="00572CB2">
              <w:t xml:space="preserve"> UE</w:t>
            </w:r>
            <w:r w:rsidR="00415685">
              <w:t xml:space="preserve"> (rezultaty)</w:t>
            </w:r>
          </w:p>
        </w:tc>
        <w:tc>
          <w:tcPr>
            <w:tcW w:w="1949" w:type="dxa"/>
          </w:tcPr>
          <w:p w14:paraId="67A228BF" w14:textId="77777777" w:rsidR="00415685" w:rsidRPr="009067AD" w:rsidRDefault="009067AD" w:rsidP="00572CB2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 xml:space="preserve">Umocnienie pozycji Polski jako lidera Polityki </w:t>
            </w:r>
            <w:r w:rsidR="00572CB2">
              <w:rPr>
                <w:sz w:val="20"/>
                <w:szCs w:val="20"/>
              </w:rPr>
              <w:t>S</w:t>
            </w:r>
            <w:r w:rsidRPr="009067AD">
              <w:rPr>
                <w:sz w:val="20"/>
                <w:szCs w:val="20"/>
              </w:rPr>
              <w:t xml:space="preserve">pójności </w:t>
            </w:r>
            <w:r w:rsidR="00572CB2">
              <w:rPr>
                <w:sz w:val="20"/>
                <w:szCs w:val="20"/>
              </w:rPr>
              <w:t xml:space="preserve">UE, </w:t>
            </w:r>
            <w:r w:rsidRPr="009067AD">
              <w:rPr>
                <w:sz w:val="20"/>
                <w:szCs w:val="20"/>
              </w:rPr>
              <w:t>a przez to łatwiejsze finansowanie inwestycji metropolitalnych</w:t>
            </w:r>
            <w:r w:rsidR="00572CB2">
              <w:rPr>
                <w:sz w:val="20"/>
                <w:szCs w:val="20"/>
              </w:rPr>
              <w:t>,</w:t>
            </w:r>
            <w:r w:rsidRPr="009067AD">
              <w:rPr>
                <w:sz w:val="20"/>
                <w:szCs w:val="20"/>
              </w:rPr>
              <w:t xml:space="preserve"> np. w SGEI</w:t>
            </w:r>
            <w:r w:rsidR="00EE10BE">
              <w:rPr>
                <w:sz w:val="20"/>
                <w:szCs w:val="20"/>
              </w:rPr>
              <w:t xml:space="preserve"> i przyciąganie nowych </w:t>
            </w:r>
            <w:r w:rsidR="00733DDF">
              <w:rPr>
                <w:sz w:val="20"/>
                <w:szCs w:val="20"/>
              </w:rPr>
              <w:t>mieszkańców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5302274A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A350D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1EE2A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</w:tr>
      <w:tr w:rsidR="00415685" w14:paraId="2962B371" w14:textId="77777777" w:rsidTr="00383F74">
        <w:tc>
          <w:tcPr>
            <w:tcW w:w="2093" w:type="dxa"/>
          </w:tcPr>
          <w:p w14:paraId="036532C1" w14:textId="77777777" w:rsidR="00415685" w:rsidRDefault="0046621F" w:rsidP="00572CB2">
            <w:r>
              <w:t xml:space="preserve">3. Skuteczniejszy </w:t>
            </w:r>
            <w:r w:rsidR="00572CB2">
              <w:t>l</w:t>
            </w:r>
            <w:r w:rsidR="009D47A8">
              <w:t>obbingmiędzynarodowy</w:t>
            </w:r>
          </w:p>
        </w:tc>
        <w:tc>
          <w:tcPr>
            <w:tcW w:w="1949" w:type="dxa"/>
          </w:tcPr>
          <w:p w14:paraId="5C58BA74" w14:textId="77777777" w:rsidR="00415685" w:rsidRPr="009067AD" w:rsidRDefault="009067AD" w:rsidP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Bardziej przyjazne  dla rozwoju metropolii rozwiązania prawne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52F5D1A6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8C185" w14:textId="77777777" w:rsidR="00415685" w:rsidRPr="009067AD" w:rsidRDefault="00032427" w:rsidP="0003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Powiązania miękkie  jako pierwszy etap kreowania powiązań sfery realnej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2A4DA98" w14:textId="77777777" w:rsidR="00415685" w:rsidRPr="009067AD" w:rsidRDefault="00032427" w:rsidP="0003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 nowej wiedzy istotnej dla metropolii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388C1388" w14:textId="77777777" w:rsidTr="00383F74">
        <w:tc>
          <w:tcPr>
            <w:tcW w:w="2093" w:type="dxa"/>
          </w:tcPr>
          <w:p w14:paraId="4A8AAEB2" w14:textId="77777777" w:rsidR="00415685" w:rsidRDefault="0046621F">
            <w:r>
              <w:t>4. Korzyści wizerunkowe</w:t>
            </w:r>
          </w:p>
        </w:tc>
        <w:tc>
          <w:tcPr>
            <w:tcW w:w="1949" w:type="dxa"/>
          </w:tcPr>
          <w:p w14:paraId="455CC8CB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Napływ BIZ i mieszkańców z zagranicy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138FDD54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Napływ  liczących się inwestorów w skali globalnej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12AA13B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Nowe powiązania transportowe morskie i lotnicze</w:t>
            </w:r>
            <w:r w:rsidR="0025781A">
              <w:rPr>
                <w:sz w:val="20"/>
                <w:szCs w:val="20"/>
              </w:rPr>
              <w:t>, poprawa miejsca metropolii w globalnym łańcuchu dostaw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B781360" w14:textId="77777777" w:rsidR="00415685" w:rsidRPr="009067AD" w:rsidRDefault="009067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>Napływ inwestorów zagranicznych inwestujących w B+R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1A6463F6" w14:textId="77777777" w:rsidTr="00383F74">
        <w:tc>
          <w:tcPr>
            <w:tcW w:w="2093" w:type="dxa"/>
          </w:tcPr>
          <w:p w14:paraId="70D61116" w14:textId="77777777" w:rsidR="00415685" w:rsidRDefault="0046621F">
            <w:r>
              <w:t>5. Domknięcie metropolii sieciowej</w:t>
            </w:r>
          </w:p>
        </w:tc>
        <w:tc>
          <w:tcPr>
            <w:tcW w:w="1949" w:type="dxa"/>
          </w:tcPr>
          <w:p w14:paraId="5F5A5A2C" w14:textId="77777777" w:rsidR="00415685" w:rsidRPr="009067AD" w:rsidRDefault="00C119E2" w:rsidP="00C1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mieszkańców i inwestorów ze względu na spójność zarządzania OMGGS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28423A74" w14:textId="77777777" w:rsidR="00415685" w:rsidRPr="009067AD" w:rsidRDefault="00C119E2" w:rsidP="00F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Wzrost produktywności ze względu na silniejsze korzyści aglomeracji</w:t>
            </w:r>
            <w:r w:rsidR="00FB082D">
              <w:rPr>
                <w:sz w:val="20"/>
                <w:szCs w:val="20"/>
              </w:rPr>
              <w:t xml:space="preserve"> (OMGGS lepiej absorbuje bodźce rozwojowe)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FC94045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B35F86" w14:textId="77777777" w:rsidR="00415685" w:rsidRPr="009067AD" w:rsidRDefault="00C119E2" w:rsidP="00C9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Napływ wysoko </w:t>
            </w:r>
            <w:r w:rsidR="00C94AC1">
              <w:rPr>
                <w:sz w:val="20"/>
                <w:szCs w:val="20"/>
              </w:rPr>
              <w:t>wykształconych</w:t>
            </w:r>
            <w:r>
              <w:rPr>
                <w:sz w:val="20"/>
                <w:szCs w:val="20"/>
              </w:rPr>
              <w:t xml:space="preserve"> osób ze względu na </w:t>
            </w:r>
            <w:r w:rsidR="00C94AC1">
              <w:rPr>
                <w:sz w:val="20"/>
                <w:szCs w:val="20"/>
              </w:rPr>
              <w:t xml:space="preserve">wzrost </w:t>
            </w:r>
            <w:r>
              <w:rPr>
                <w:sz w:val="20"/>
                <w:szCs w:val="20"/>
              </w:rPr>
              <w:t>jakoś</w:t>
            </w:r>
            <w:r w:rsidR="00C94AC1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życia w OMGGS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4C4B5247" w14:textId="77777777" w:rsidTr="00383F74">
        <w:tc>
          <w:tcPr>
            <w:tcW w:w="2093" w:type="dxa"/>
          </w:tcPr>
          <w:p w14:paraId="185B8466" w14:textId="77777777" w:rsidR="00415685" w:rsidRDefault="0046621F" w:rsidP="00572CB2">
            <w:r>
              <w:t>6. Domkni</w:t>
            </w:r>
            <w:r w:rsidR="00572CB2">
              <w:t>ę</w:t>
            </w:r>
            <w:r>
              <w:t>cie zarządzania wielo</w:t>
            </w:r>
            <w:r w:rsidR="0098726B">
              <w:t>poziomowego</w:t>
            </w:r>
          </w:p>
        </w:tc>
        <w:tc>
          <w:tcPr>
            <w:tcW w:w="1949" w:type="dxa"/>
          </w:tcPr>
          <w:p w14:paraId="09F30118" w14:textId="77777777" w:rsidR="00415685" w:rsidRPr="009067AD" w:rsidRDefault="007C08BD" w:rsidP="007C0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mieszkańców i inwestorów ze względu na skuteczność polityk metropolitalnych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4A7DA67F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9397E" w14:textId="77777777" w:rsidR="00415685" w:rsidRPr="009067AD" w:rsidRDefault="005E4EAD" w:rsidP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Krajowa polityka transportowa wspierająca tworzenie nowych powiązań transportowych (efekt dialogu rząd OMGGS)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CCF6B11" w14:textId="77777777" w:rsidR="00415685" w:rsidRPr="009067AD" w:rsidRDefault="007C08BD" w:rsidP="007C0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wysoko wykształconych osób ze względu na skuteczność polityk metropolitalnych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0AE6CF21" w14:textId="77777777" w:rsidTr="00383F74">
        <w:tc>
          <w:tcPr>
            <w:tcW w:w="2093" w:type="dxa"/>
          </w:tcPr>
          <w:p w14:paraId="00A0453D" w14:textId="77777777" w:rsidR="00415685" w:rsidRDefault="0046621F" w:rsidP="00572CB2">
            <w:r>
              <w:t>7.</w:t>
            </w:r>
            <w:r w:rsidR="00383F74">
              <w:t>Zmniejszeni</w:t>
            </w:r>
            <w:r w:rsidR="00572CB2">
              <w:t xml:space="preserve">ie </w:t>
            </w:r>
            <w:r w:rsidR="00383F74">
              <w:t xml:space="preserve">skali </w:t>
            </w:r>
            <w:r>
              <w:t>suburbanizacji</w:t>
            </w:r>
          </w:p>
        </w:tc>
        <w:tc>
          <w:tcPr>
            <w:tcW w:w="1949" w:type="dxa"/>
          </w:tcPr>
          <w:p w14:paraId="1F8CE7AA" w14:textId="77777777" w:rsidR="00415685" w:rsidRPr="009067AD" w:rsidRDefault="000C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mieszkańców i inwestorów ze względu na zmniejszenie negatywnych kosztów suburbanizacji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7BA02891" w14:textId="77777777" w:rsidR="00415685" w:rsidRPr="009067AD" w:rsidRDefault="000C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Większa produktywność ze względu na zmniejszenie negatywnych kosztów suburbanizacji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4136C7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2DF4855" w14:textId="77777777" w:rsidR="00415685" w:rsidRPr="009067AD" w:rsidRDefault="000C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wysoko wykształconych osób ze względu na zmniejszenie negatywnych kosztów suburbanizacji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25F2D3E1" w14:textId="77777777" w:rsidTr="00383F74">
        <w:tc>
          <w:tcPr>
            <w:tcW w:w="2093" w:type="dxa"/>
          </w:tcPr>
          <w:p w14:paraId="53A4EE31" w14:textId="77777777" w:rsidR="00415685" w:rsidRDefault="0046621F">
            <w:r>
              <w:t>8. Wzmocnienie rozwoju regionów peryferyjnych</w:t>
            </w:r>
          </w:p>
        </w:tc>
        <w:tc>
          <w:tcPr>
            <w:tcW w:w="1949" w:type="dxa"/>
          </w:tcPr>
          <w:p w14:paraId="7952B965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759F5199" w14:textId="77777777" w:rsidR="00415685" w:rsidRPr="009067AD" w:rsidRDefault="00025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tańszych komponentów i dostawców obniżenie kosztów wytwarzania w metropolii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C0A48CC" w14:textId="77777777" w:rsidR="00415685" w:rsidRPr="009067AD" w:rsidRDefault="00572CB2" w:rsidP="0057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Zwiększenie skali i zasięgu powiązań sieciowych o charakterze gospodarczym.</w:t>
            </w:r>
          </w:p>
        </w:tc>
        <w:tc>
          <w:tcPr>
            <w:tcW w:w="2126" w:type="dxa"/>
          </w:tcPr>
          <w:p w14:paraId="3197C1CE" w14:textId="77777777" w:rsidR="00415685" w:rsidRPr="009067AD" w:rsidRDefault="00415685">
            <w:pPr>
              <w:rPr>
                <w:sz w:val="20"/>
                <w:szCs w:val="20"/>
              </w:rPr>
            </w:pPr>
          </w:p>
        </w:tc>
      </w:tr>
      <w:tr w:rsidR="00415685" w14:paraId="5A293FDF" w14:textId="77777777" w:rsidTr="00383F74">
        <w:tc>
          <w:tcPr>
            <w:tcW w:w="2093" w:type="dxa"/>
          </w:tcPr>
          <w:p w14:paraId="6FB7229F" w14:textId="77777777" w:rsidR="00415685" w:rsidRDefault="0046621F">
            <w:r>
              <w:lastRenderedPageBreak/>
              <w:t xml:space="preserve">9.Sieciowanie wiedzy </w:t>
            </w:r>
          </w:p>
        </w:tc>
        <w:tc>
          <w:tcPr>
            <w:tcW w:w="1949" w:type="dxa"/>
          </w:tcPr>
          <w:p w14:paraId="5FB81D54" w14:textId="77777777" w:rsidR="00415685" w:rsidRPr="009067AD" w:rsidRDefault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Napływ inwestorów i pracowników do </w:t>
            </w:r>
            <w:r>
              <w:rPr>
                <w:rFonts w:cstheme="minorHAnsi"/>
                <w:sz w:val="20"/>
                <w:szCs w:val="20"/>
              </w:rPr>
              <w:t xml:space="preserve">obszaru </w:t>
            </w:r>
            <w:r w:rsidRPr="00AF096B">
              <w:rPr>
                <w:rFonts w:cstheme="minorHAnsi"/>
                <w:sz w:val="20"/>
                <w:szCs w:val="20"/>
              </w:rPr>
              <w:t>kreatywnego wdrażania nowoczesnych i innowacyjnych rozwiązań technologicznych</w:t>
            </w:r>
            <w:r w:rsidR="00024F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354A0B30" w14:textId="77777777" w:rsidR="00415685" w:rsidRPr="00AF096B" w:rsidRDefault="00AF096B" w:rsidP="00AF096B">
            <w:pPr>
              <w:rPr>
                <w:rFonts w:cstheme="minorHAnsi"/>
                <w:sz w:val="20"/>
                <w:szCs w:val="20"/>
              </w:rPr>
            </w:pPr>
            <w:r w:rsidRPr="00AF096B">
              <w:rPr>
                <w:rFonts w:cstheme="minorHAnsi"/>
                <w:sz w:val="20"/>
                <w:szCs w:val="20"/>
              </w:rPr>
              <w:t xml:space="preserve">Wzrost produktywności ze względu na stworzenie </w:t>
            </w:r>
            <w:r>
              <w:rPr>
                <w:rFonts w:cstheme="minorHAnsi"/>
                <w:sz w:val="20"/>
                <w:szCs w:val="20"/>
              </w:rPr>
              <w:t xml:space="preserve">obszaru </w:t>
            </w:r>
            <w:r w:rsidRPr="00AF096B">
              <w:rPr>
                <w:rFonts w:cstheme="minorHAnsi"/>
                <w:sz w:val="20"/>
                <w:szCs w:val="20"/>
              </w:rPr>
              <w:t>kreatywnego wdrażania nowoczesnych i innowacyjnych rozwiązań technologicznych</w:t>
            </w:r>
            <w:r w:rsidR="00024F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49C0AF3" w14:textId="77777777" w:rsidR="00415685" w:rsidRPr="009067AD" w:rsidRDefault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Rozwój powiązań transportowych ze względu na powstanie </w:t>
            </w:r>
            <w:r>
              <w:rPr>
                <w:rFonts w:cstheme="minorHAnsi"/>
                <w:sz w:val="20"/>
                <w:szCs w:val="20"/>
              </w:rPr>
              <w:t xml:space="preserve">obszaru </w:t>
            </w:r>
            <w:r w:rsidRPr="00AF096B">
              <w:rPr>
                <w:rFonts w:cstheme="minorHAnsi"/>
                <w:sz w:val="20"/>
                <w:szCs w:val="20"/>
              </w:rPr>
              <w:t>kreatywnego wdrażania nowoczesnych i innowacyjnych rozwiązań technologicznych</w:t>
            </w:r>
            <w:r w:rsidR="00024F7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15CF64E" w14:textId="77777777" w:rsidR="00415685" w:rsidRDefault="00AF096B" w:rsidP="005E4EA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Napływ wysoko wykształconych osób ze względu na atrakcyjne miejsca pracy </w:t>
            </w:r>
            <w:r w:rsidR="005E4EAD">
              <w:rPr>
                <w:sz w:val="20"/>
                <w:szCs w:val="20"/>
              </w:rPr>
              <w:t xml:space="preserve">w obszarze </w:t>
            </w:r>
            <w:r w:rsidR="005E4EAD" w:rsidRPr="00AF096B">
              <w:rPr>
                <w:rFonts w:cstheme="minorHAnsi"/>
                <w:sz w:val="20"/>
                <w:szCs w:val="20"/>
              </w:rPr>
              <w:t>kreatywnego wdrażania nowoczesnych i innowacyjnych rozwiązań technologicznych</w:t>
            </w:r>
            <w:r w:rsidR="005E4EAD">
              <w:rPr>
                <w:rFonts w:cstheme="minorHAnsi"/>
                <w:sz w:val="20"/>
                <w:szCs w:val="20"/>
              </w:rPr>
              <w:t>.</w:t>
            </w:r>
          </w:p>
          <w:p w14:paraId="0661C2B7" w14:textId="77777777" w:rsidR="005E4EAD" w:rsidRDefault="005E4EAD" w:rsidP="005E4EAD">
            <w:pPr>
              <w:rPr>
                <w:sz w:val="20"/>
                <w:szCs w:val="20"/>
              </w:rPr>
            </w:pPr>
          </w:p>
          <w:p w14:paraId="6F7798AE" w14:textId="77777777" w:rsidR="005E4EAD" w:rsidRPr="009067AD" w:rsidRDefault="005E4EAD" w:rsidP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 nowej wiedzy z B+R istotnej dla rozwoju OMGGS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415685" w14:paraId="6B23F088" w14:textId="77777777" w:rsidTr="00383F74">
        <w:tc>
          <w:tcPr>
            <w:tcW w:w="2093" w:type="dxa"/>
          </w:tcPr>
          <w:p w14:paraId="7B84472B" w14:textId="77777777" w:rsidR="00415685" w:rsidRDefault="0046621F">
            <w:r>
              <w:t>10</w:t>
            </w:r>
            <w:r w:rsidR="00383F74">
              <w:t>.</w:t>
            </w:r>
            <w:r>
              <w:t xml:space="preserve"> Pozyskiwanie inwestorów </w:t>
            </w:r>
          </w:p>
        </w:tc>
        <w:tc>
          <w:tcPr>
            <w:tcW w:w="1949" w:type="dxa"/>
          </w:tcPr>
          <w:p w14:paraId="1CAB31D0" w14:textId="77777777" w:rsidR="00415685" w:rsidRPr="009067AD" w:rsidRDefault="005E4EAD" w:rsidP="00E83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inwestorów i pracowników ze względu na lepszą koordynacj</w:t>
            </w:r>
            <w:r w:rsidR="00E83A98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procesów inwestycyjnych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6EA2AF55" w14:textId="77777777" w:rsidR="00415685" w:rsidRPr="009067AD" w:rsidRDefault="005E4EAD" w:rsidP="005E4EAD">
            <w:pPr>
              <w:rPr>
                <w:sz w:val="20"/>
                <w:szCs w:val="20"/>
              </w:rPr>
            </w:pPr>
            <w:r w:rsidRPr="009067AD">
              <w:rPr>
                <w:sz w:val="20"/>
                <w:szCs w:val="20"/>
              </w:rPr>
              <w:t xml:space="preserve">Napływ  liczących się inwestorów </w:t>
            </w:r>
            <w:r>
              <w:rPr>
                <w:sz w:val="20"/>
                <w:szCs w:val="20"/>
              </w:rPr>
              <w:t>krajowych i zagranicznych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2D479D" w14:textId="77777777" w:rsidR="00415685" w:rsidRPr="009067AD" w:rsidRDefault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powiązań transportowych ze względu na napływ inwestorów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E213610" w14:textId="77777777" w:rsidR="00415685" w:rsidRPr="009067AD" w:rsidRDefault="005E4EAD" w:rsidP="005E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Wzrost liczby podmiotów uczestniczących w tworzeniu i przekazywaniu wiedzy w obszarze metropolitalnym</w:t>
            </w:r>
            <w:r w:rsidR="00024F7C">
              <w:rPr>
                <w:sz w:val="20"/>
                <w:szCs w:val="20"/>
              </w:rPr>
              <w:t>.</w:t>
            </w:r>
          </w:p>
        </w:tc>
      </w:tr>
      <w:tr w:rsidR="007F354A" w14:paraId="37DD3337" w14:textId="77777777" w:rsidTr="00383F74">
        <w:tc>
          <w:tcPr>
            <w:tcW w:w="2093" w:type="dxa"/>
          </w:tcPr>
          <w:p w14:paraId="5CCF80C0" w14:textId="77777777" w:rsidR="007F354A" w:rsidRDefault="007F354A" w:rsidP="007F354A">
            <w:r>
              <w:t>11. Bezpieczeństwo</w:t>
            </w:r>
          </w:p>
        </w:tc>
        <w:tc>
          <w:tcPr>
            <w:tcW w:w="1949" w:type="dxa"/>
          </w:tcPr>
          <w:p w14:paraId="1F8B1C98" w14:textId="77777777" w:rsidR="007F354A" w:rsidRDefault="007F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Napływ inwestorów i pracowników ze względu na poczucie bezpieczeństwa</w:t>
            </w:r>
            <w:r w:rsidR="00024F7C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14:paraId="36D4BAB4" w14:textId="77777777" w:rsidR="007F354A" w:rsidRPr="009067AD" w:rsidRDefault="007F354A" w:rsidP="005E4E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B49CF" w14:textId="77777777" w:rsidR="007F354A" w:rsidRDefault="007F35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B4970" w14:textId="77777777" w:rsidR="007F354A" w:rsidRDefault="007F354A" w:rsidP="005E4EAD">
            <w:pPr>
              <w:rPr>
                <w:sz w:val="20"/>
                <w:szCs w:val="20"/>
              </w:rPr>
            </w:pPr>
          </w:p>
        </w:tc>
      </w:tr>
    </w:tbl>
    <w:p w14:paraId="3C02A38A" w14:textId="77777777" w:rsidR="00415685" w:rsidRPr="00024F7C" w:rsidRDefault="00DB3777">
      <w:pPr>
        <w:rPr>
          <w:i/>
        </w:rPr>
      </w:pPr>
      <w:r w:rsidRPr="00DB3777">
        <w:rPr>
          <w:i/>
        </w:rPr>
        <w:t>Źródło: opracowanie własne</w:t>
      </w:r>
      <w:r w:rsidR="00024F7C">
        <w:rPr>
          <w:i/>
        </w:rPr>
        <w:t>.</w:t>
      </w:r>
    </w:p>
    <w:p w14:paraId="4C48C7D0" w14:textId="77777777" w:rsidR="00445F58" w:rsidRPr="005327B4" w:rsidRDefault="005327B4">
      <w:pPr>
        <w:rPr>
          <w:b/>
          <w:sz w:val="24"/>
          <w:szCs w:val="24"/>
        </w:rPr>
      </w:pPr>
      <w:r w:rsidRPr="005327B4">
        <w:rPr>
          <w:b/>
          <w:sz w:val="24"/>
          <w:szCs w:val="24"/>
        </w:rPr>
        <w:t>Podsumowanie:</w:t>
      </w:r>
    </w:p>
    <w:p w14:paraId="1F2658DF" w14:textId="77777777" w:rsidR="005327B4" w:rsidRPr="005327B4" w:rsidRDefault="005327B4" w:rsidP="005327B4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B4">
        <w:rPr>
          <w:rFonts w:ascii="Times New Roman" w:hAnsi="Times New Roman" w:cs="Times New Roman"/>
          <w:sz w:val="24"/>
          <w:szCs w:val="24"/>
        </w:rPr>
        <w:t>Ekspertyza podkreśla kluczowe znaczenie formalizacji OMGGS dla rozwoju Polski, zarówno na poziomie regionalnym, krajowym, jak i międzynarodowym. Trójmiejski obszar metropolitalny jest już uznany za byt ekonomiczny z perspektywy masy, powiązań oraz konkurencyjności, ale brakuje mu spójnego systemu zarządzania i formalnej struktury, co prowadzi do niepełnego wykorzystania potencjału.</w:t>
      </w:r>
    </w:p>
    <w:p w14:paraId="1D2C227A" w14:textId="77777777" w:rsidR="005327B4" w:rsidRPr="005327B4" w:rsidRDefault="005327B4" w:rsidP="005327B4">
      <w:pPr>
        <w:pStyle w:val="NormalnyWeb"/>
        <w:numPr>
          <w:ilvl w:val="0"/>
          <w:numId w:val="14"/>
        </w:numPr>
        <w:spacing w:before="0" w:beforeAutospacing="0" w:after="0" w:afterAutospacing="0" w:line="256" w:lineRule="auto"/>
        <w:jc w:val="both"/>
      </w:pPr>
      <w:r w:rsidRPr="005327B4">
        <w:t>Wzrost gospodarczy: Wzmocnienie korzyści aglomeracyjnych, przyciąganie inwestycji bezpośrednich (BIZ), akceleracja badań i rozwoju (B+R), a także poprawa produktywności czynników produkcji.</w:t>
      </w:r>
    </w:p>
    <w:p w14:paraId="41337664" w14:textId="77777777" w:rsidR="005327B4" w:rsidRPr="005327B4" w:rsidRDefault="005327B4" w:rsidP="005327B4">
      <w:pPr>
        <w:pStyle w:val="NormalnyWeb"/>
        <w:numPr>
          <w:ilvl w:val="0"/>
          <w:numId w:val="14"/>
        </w:numPr>
        <w:spacing w:before="0" w:beforeAutospacing="0" w:after="0" w:afterAutospacing="0" w:line="256" w:lineRule="auto"/>
        <w:jc w:val="both"/>
      </w:pPr>
      <w:r w:rsidRPr="005327B4">
        <w:t>Zarządzanie wielopoziomowe: Wprowadzenie metropolitalnego szczebla samorządowego pozwoliłoby na bardziej efektywną koordynację polityk publicznych, eliminację chaosu przestrzennego i zwiększenie efektywności transportu oraz infrastruktury.</w:t>
      </w:r>
    </w:p>
    <w:p w14:paraId="6E51AC86" w14:textId="77777777" w:rsidR="005327B4" w:rsidRPr="005327B4" w:rsidRDefault="005327B4" w:rsidP="005327B4">
      <w:pPr>
        <w:pStyle w:val="NormalnyWeb"/>
        <w:numPr>
          <w:ilvl w:val="0"/>
          <w:numId w:val="14"/>
        </w:numPr>
        <w:spacing w:before="0" w:beforeAutospacing="0" w:after="0" w:afterAutospacing="0" w:line="256" w:lineRule="auto"/>
        <w:jc w:val="both"/>
      </w:pPr>
      <w:r w:rsidRPr="005327B4">
        <w:t xml:space="preserve">Pozycja Polski w UE: Formalizacja OMGGS pozwoliłaby Polsce na bardziej aktywne promowanie interesów narodowych w UE poprzez udział </w:t>
      </w:r>
      <w:r w:rsidR="00024F7C">
        <w:br/>
      </w:r>
      <w:r w:rsidRPr="005327B4">
        <w:t xml:space="preserve">w inicjatywach metropolitalnych, takich jak METREX i </w:t>
      </w:r>
      <w:r w:rsidR="00E83A98">
        <w:t>P</w:t>
      </w:r>
      <w:r w:rsidRPr="005327B4">
        <w:t xml:space="preserve">olityka </w:t>
      </w:r>
      <w:r w:rsidR="00E83A98">
        <w:t>S</w:t>
      </w:r>
      <w:r w:rsidRPr="005327B4">
        <w:t>pójności UE.</w:t>
      </w:r>
    </w:p>
    <w:p w14:paraId="4E54747C" w14:textId="77777777" w:rsidR="005327B4" w:rsidRPr="005327B4" w:rsidRDefault="005327B4" w:rsidP="005327B4">
      <w:pPr>
        <w:pStyle w:val="NormalnyWeb"/>
        <w:numPr>
          <w:ilvl w:val="0"/>
          <w:numId w:val="14"/>
        </w:numPr>
        <w:spacing w:before="0" w:beforeAutospacing="0" w:after="0" w:afterAutospacing="0" w:line="256" w:lineRule="auto"/>
        <w:jc w:val="both"/>
      </w:pPr>
      <w:r w:rsidRPr="005327B4">
        <w:t>Korzyści wizerunkowe: Wprowadzenie OMGGS jako formalnego bytu wzmocniłoby wizerunek re</w:t>
      </w:r>
      <w:r w:rsidR="00E83A98">
        <w:t>gionu na arenie międzynarodowej</w:t>
      </w:r>
      <w:r w:rsidRPr="005327B4">
        <w:t xml:space="preserve"> przyciągając inwestorów i poprawiając pozycję w globalnym łańcuchu dostaw.</w:t>
      </w:r>
    </w:p>
    <w:p w14:paraId="190590CA" w14:textId="77777777" w:rsidR="005327B4" w:rsidRPr="005327B4" w:rsidRDefault="005327B4" w:rsidP="005327B4">
      <w:pPr>
        <w:pStyle w:val="NormalnyWeb"/>
        <w:numPr>
          <w:ilvl w:val="0"/>
          <w:numId w:val="14"/>
        </w:numPr>
        <w:spacing w:before="0" w:beforeAutospacing="0" w:after="160" w:afterAutospacing="0" w:line="256" w:lineRule="auto"/>
        <w:jc w:val="both"/>
      </w:pPr>
      <w:r w:rsidRPr="005327B4">
        <w:t>Zrównoważony rozwój regionalny: Formalizacja ograniczyłaby niekontrolowaną suburbanizację, zmniejszyłaby koszty chaosu przestrzennego oraz zwiększyła rozwój regionów peryferyjnych dzięki bardziej zintegrowanej polityce rozwoju.</w:t>
      </w:r>
    </w:p>
    <w:p w14:paraId="059063C3" w14:textId="77777777" w:rsidR="005327B4" w:rsidRPr="005327B4" w:rsidRDefault="005327B4" w:rsidP="005327B4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B4">
        <w:rPr>
          <w:rFonts w:ascii="Times New Roman" w:hAnsi="Times New Roman" w:cs="Times New Roman"/>
          <w:sz w:val="24"/>
          <w:szCs w:val="24"/>
        </w:rPr>
        <w:lastRenderedPageBreak/>
        <w:t> Dokument (ekspertyza) identyfikuje kilka kluczowych zaleceń:</w:t>
      </w:r>
    </w:p>
    <w:p w14:paraId="0F4FE32B" w14:textId="77777777" w:rsidR="005327B4" w:rsidRPr="005327B4" w:rsidRDefault="005327B4" w:rsidP="005327B4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5327B4">
        <w:t>Formalizacja OMGGS jest konieczna dla przekształcenia „żywiołowego procesu” metropolizacji w proces bardziej kontrolowany i strategiczny, co zwiększy efektywność gospodarczą oraz społeczną</w:t>
      </w:r>
      <w:r w:rsidR="00E83A98">
        <w:t>.</w:t>
      </w:r>
    </w:p>
    <w:p w14:paraId="06CAAC5C" w14:textId="77777777" w:rsidR="005327B4" w:rsidRPr="005327B4" w:rsidRDefault="005327B4" w:rsidP="005327B4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5327B4">
        <w:t>Inwestycje w infrastrukturę transportową i cyfrową muszą zostać zintegrowane na poziomie metropolitalnym</w:t>
      </w:r>
      <w:r w:rsidR="00E83A98">
        <w:t>.</w:t>
      </w:r>
    </w:p>
    <w:p w14:paraId="284300B1" w14:textId="77777777" w:rsidR="005327B4" w:rsidRPr="005327B4" w:rsidRDefault="005327B4" w:rsidP="005327B4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5327B4">
        <w:t xml:space="preserve">Wprowadzenie mechanizmów koordynacji </w:t>
      </w:r>
      <w:r w:rsidR="00E83A98">
        <w:t>polityk regionalnych i unijnych</w:t>
      </w:r>
      <w:r w:rsidRPr="005327B4">
        <w:t xml:space="preserve"> umożliwiających lepszą absorpcję funduszy UE i osiąganie rezultatów strategicznych, w szczególności w obszarze transportu, energii i mieszkalnictwa</w:t>
      </w:r>
      <w:r w:rsidR="00E83A98">
        <w:t>.</w:t>
      </w:r>
    </w:p>
    <w:p w14:paraId="2D7E53C7" w14:textId="77777777" w:rsidR="005327B4" w:rsidRPr="005327B4" w:rsidRDefault="00E83A98" w:rsidP="005327B4">
      <w:pPr>
        <w:pStyle w:val="NormalnyWeb"/>
        <w:numPr>
          <w:ilvl w:val="0"/>
          <w:numId w:val="11"/>
        </w:numPr>
        <w:spacing w:before="0" w:beforeAutospacing="0" w:after="160" w:afterAutospacing="0" w:line="256" w:lineRule="auto"/>
        <w:jc w:val="both"/>
      </w:pPr>
      <w:r>
        <w:t>Rozwój sieci wiedzy i innowacji</w:t>
      </w:r>
      <w:r w:rsidR="005327B4" w:rsidRPr="005327B4">
        <w:t xml:space="preserve"> z silnym naciskiem na współpracę uczelni, biznesu i samorządu, co pozwoli OMGGS stać się liderem w obszarze innowacji w Polsce Północnej.</w:t>
      </w:r>
    </w:p>
    <w:p w14:paraId="6260CC16" w14:textId="77777777" w:rsidR="005327B4" w:rsidRDefault="005327B4"/>
    <w:p w14:paraId="36825D2E" w14:textId="77777777" w:rsidR="00FC08B1" w:rsidRPr="0038316D" w:rsidRDefault="00FC08B1" w:rsidP="00AF096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b/>
          <w:sz w:val="24"/>
          <w:szCs w:val="24"/>
          <w:lang w:val="en-US"/>
        </w:rPr>
        <w:t>Literatura</w:t>
      </w:r>
      <w:r w:rsidR="00AF096B" w:rsidRPr="003831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23D8AD9" w14:textId="77777777" w:rsidR="007F354A" w:rsidRPr="0038316D" w:rsidRDefault="00AA4C55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Acemoglu, D. and Robinson, J.A. (2012) Why Nations Fail: The Origins of Power, Prosperity, and Poverty. New York: Crown Publishing Group-A Division of Random House.</w:t>
      </w:r>
    </w:p>
    <w:p w14:paraId="4E047834" w14:textId="021CFEB1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Arnstein, S. R. (1969). A ladder of citizen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participation. Journal of the American Planning Association, 35(4)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216–224.</w:t>
      </w:r>
    </w:p>
    <w:p w14:paraId="1C8446C6" w14:textId="2D637F41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Bahl, R., Linn, J., &amp;Wetzel, D. (2013). Governing and Financing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Cities in the Developing World. 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>Cambridge, MA 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Lincoln Institute of Land Policy.</w:t>
      </w:r>
    </w:p>
    <w:p w14:paraId="199BD247" w14:textId="5D15A7DF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Baldwin, R., &amp; Martin, P. (2004). Agglomeration and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growth. In V. Henderson &amp; J. F. Thisse (Eds.), Handbook of Regional and Urban Economics (Vol. 4, pp. 2671–2711). Elsevier.</w:t>
      </w:r>
    </w:p>
    <w:p w14:paraId="09DEB80D" w14:textId="77777777" w:rsidR="007F354A" w:rsidRPr="00AA4C55" w:rsidRDefault="007F354A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Bank Światowy</w:t>
      </w:r>
      <w:r w:rsidRPr="00AA4C55">
        <w:rPr>
          <w:rFonts w:ascii="Times New Roman" w:hAnsi="Times New Roman" w:cs="Times New Roman"/>
          <w:sz w:val="24"/>
          <w:szCs w:val="24"/>
          <w:lang w:val="en-AU"/>
        </w:rPr>
        <w:t xml:space="preserve"> (2009). World development report Reshaping Economic Geography, Washington DC: The International Bank for Reconstruction and Development </w:t>
      </w:r>
    </w:p>
    <w:p w14:paraId="40477E6C" w14:textId="22D5FCE4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C55">
        <w:rPr>
          <w:rFonts w:ascii="Times New Roman" w:hAnsi="Times New Roman" w:cs="Times New Roman"/>
          <w:sz w:val="24"/>
          <w:szCs w:val="24"/>
        </w:rPr>
        <w:t>Barca, F., McCann, P., &amp;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 xml:space="preserve">Rodríguez-Pose, A. (2012).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The case for regional development intervention: Place-based versus place-neutralapproaches. Journal of Regional Science, 52(1)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134–152. </w:t>
      </w:r>
      <w:hyperlink r:id="rId8" w:tgtFrame="_blank" w:history="1">
        <w:r w:rsidRPr="0038316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https://doi.org/10.1111/j.1467-9787.2011.00756.x</w:t>
        </w:r>
      </w:hyperlink>
    </w:p>
    <w:p w14:paraId="11C9DBD0" w14:textId="4B63CA03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Barro, R. J. (1991). 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 in a cross-section of countries. Quarterly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Journal of Economics, 106(2)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407–443.</w:t>
      </w:r>
    </w:p>
    <w:p w14:paraId="08028798" w14:textId="4E49BE24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Barro, R. J., &amp; Sala-i-Martin, X. (2004). 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Growth (2nd ed.). 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Boston: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MIT Press.</w:t>
      </w:r>
    </w:p>
    <w:p w14:paraId="64187B34" w14:textId="4F3C938C" w:rsidR="007F354A" w:rsidRPr="00AA4C55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Boschma, R. A. (2005). Proximity and innovation: A critical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assessment. </w:t>
      </w:r>
      <w:r w:rsidRPr="00AA4C55">
        <w:rPr>
          <w:rFonts w:ascii="Times New Roman" w:hAnsi="Times New Roman" w:cs="Times New Roman"/>
          <w:sz w:val="24"/>
          <w:szCs w:val="24"/>
        </w:rPr>
        <w:t>Regional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>Studies, 39(1)</w:t>
      </w:r>
      <w:r w:rsidR="00AA4C55" w:rsidRPr="00AA4C55">
        <w:rPr>
          <w:rFonts w:ascii="Times New Roman" w:hAnsi="Times New Roman" w:cs="Times New Roman"/>
          <w:sz w:val="24"/>
          <w:szCs w:val="24"/>
        </w:rPr>
        <w:t>:</w:t>
      </w:r>
      <w:r w:rsidRPr="00AA4C55">
        <w:rPr>
          <w:rFonts w:ascii="Times New Roman" w:hAnsi="Times New Roman" w:cs="Times New Roman"/>
          <w:sz w:val="24"/>
          <w:szCs w:val="24"/>
        </w:rPr>
        <w:t xml:space="preserve">61–74. </w:t>
      </w:r>
      <w:hyperlink r:id="rId9" w:tgtFrame="_blank" w:history="1">
        <w:r w:rsidRPr="00AA4C55">
          <w:rPr>
            <w:rStyle w:val="Hipercze"/>
            <w:rFonts w:ascii="Times New Roman" w:hAnsi="Times New Roman" w:cs="Times New Roman"/>
            <w:sz w:val="24"/>
            <w:szCs w:val="24"/>
          </w:rPr>
          <w:t>https://doi.org/10.1080/0034340052000320887</w:t>
        </w:r>
      </w:hyperlink>
    </w:p>
    <w:p w14:paraId="1A3B6172" w14:textId="5240DCD7" w:rsidR="00F82EB5" w:rsidRPr="0038316D" w:rsidRDefault="00F82EB5" w:rsidP="00E60462">
      <w:pPr>
        <w:spacing w:after="12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Brodzicki T., </w:t>
      </w:r>
      <w:r w:rsidR="001D3392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Ciołek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D. (2015). Empiryczna weryfikacja wpływu kapitału terytorialnego na rozwój polskich powiatów. Podejście neoklasyczne. W: </w:t>
      </w:r>
      <w:r w:rsidRPr="00AA4C55">
        <w:rPr>
          <w:rFonts w:ascii="Times New Roman" w:hAnsi="Times New Roman" w:cs="Times New Roman"/>
          <w:sz w:val="24"/>
          <w:szCs w:val="24"/>
        </w:rPr>
        <w:t xml:space="preserve">Zaucha J., </w:t>
      </w:r>
      <w:r w:rsidRPr="00AA4C55">
        <w:rPr>
          <w:rStyle w:val="Uwydatnienie"/>
          <w:rFonts w:ascii="Times New Roman" w:hAnsi="Times New Roman" w:cs="Times New Roman"/>
          <w:i w:val="0"/>
          <w:sz w:val="24"/>
          <w:szCs w:val="24"/>
        </w:rPr>
        <w:t>Brodzicki</w:t>
      </w:r>
      <w:r w:rsidR="001D339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 xml:space="preserve">T., </w:t>
      </w:r>
      <w:r w:rsidRPr="00AA4C55">
        <w:rPr>
          <w:rStyle w:val="Uwydatnienie"/>
          <w:rFonts w:ascii="Times New Roman" w:hAnsi="Times New Roman" w:cs="Times New Roman"/>
          <w:i w:val="0"/>
          <w:sz w:val="24"/>
          <w:szCs w:val="24"/>
        </w:rPr>
        <w:t>Ciołek</w:t>
      </w:r>
      <w:r w:rsidR="001D339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 xml:space="preserve">D., Komornicki T., Mogiła Z., Szlachta J., Zaleski J. </w:t>
      </w:r>
      <w:r w:rsidRPr="00AA4C55">
        <w:rPr>
          <w:rFonts w:ascii="Times New Roman" w:hAnsi="Times New Roman" w:cs="Times New Roman"/>
          <w:i/>
          <w:sz w:val="24"/>
          <w:szCs w:val="24"/>
        </w:rPr>
        <w:t>„</w:t>
      </w:r>
      <w:r w:rsidRPr="00AA4C55">
        <w:rPr>
          <w:rFonts w:ascii="Times New Roman" w:hAnsi="Times New Roman" w:cs="Times New Roman"/>
          <w:sz w:val="24"/>
          <w:szCs w:val="24"/>
        </w:rPr>
        <w:t xml:space="preserve">Terytorialny wymiar wzrostu i rozwoju”.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Warszawa: Difin</w:t>
      </w:r>
    </w:p>
    <w:p w14:paraId="731606F0" w14:textId="52B197E5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lastRenderedPageBreak/>
        <w:t>Calthorpe, P. (2010). Urbanism in the Age of Climate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Change. 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Washington, Covelo, London: 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Island Press.</w:t>
      </w:r>
    </w:p>
    <w:p w14:paraId="2F150BB1" w14:textId="1D651852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Camagni, R., &amp; Capello, R. (2015). Second-rank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city dynamics: Theoretical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interpretations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potentials. European Planning Studies, 23(6)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1041–1053.</w:t>
      </w:r>
    </w:p>
    <w:p w14:paraId="556E4B5C" w14:textId="77777777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Cervero, R. (1998). The Transit Metropolis: A Global Inquiry. </w:t>
      </w:r>
      <w:r w:rsidR="00AA4C55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Washington, Covelo, London: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Island Press.</w:t>
      </w:r>
    </w:p>
    <w:p w14:paraId="034DDBE5" w14:textId="6CAD62BB" w:rsidR="007F354A" w:rsidRPr="00AA4C55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Draghi M., (2024). </w:t>
      </w:r>
      <w:r w:rsidRPr="0038316D">
        <w:rPr>
          <w:rFonts w:ascii="Times New Roman" w:hAnsi="Times New Roman" w:cs="Times New Roman"/>
          <w:iCs/>
          <w:sz w:val="24"/>
          <w:szCs w:val="24"/>
          <w:lang w:val="en-US"/>
        </w:rPr>
        <w:t>The Future of European</w:t>
      </w:r>
      <w:r w:rsidR="001D339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iCs/>
          <w:sz w:val="24"/>
          <w:szCs w:val="24"/>
          <w:lang w:val="en-US"/>
        </w:rPr>
        <w:t>Competitiveness Part A: A competitiveness</w:t>
      </w:r>
      <w:r w:rsidR="001D339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iCs/>
          <w:sz w:val="24"/>
          <w:szCs w:val="24"/>
          <w:lang w:val="en-US"/>
        </w:rPr>
        <w:t>strategy for Europe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, European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Commission. </w:t>
      </w:r>
      <w:r w:rsidRPr="00AA4C55">
        <w:rPr>
          <w:rFonts w:ascii="Times New Roman" w:hAnsi="Times New Roman" w:cs="Times New Roman"/>
          <w:sz w:val="24"/>
          <w:szCs w:val="24"/>
        </w:rPr>
        <w:t xml:space="preserve">Belgium. Pozyskany z </w:t>
      </w:r>
      <w:hyperlink r:id="rId10" w:history="1">
        <w:r w:rsidRPr="00AA4C55">
          <w:rPr>
            <w:rStyle w:val="Hipercze"/>
            <w:rFonts w:ascii="Times New Roman" w:hAnsi="Times New Roman" w:cs="Times New Roman"/>
            <w:sz w:val="24"/>
            <w:szCs w:val="24"/>
          </w:rPr>
          <w:t>https://coilink.org/20.500.12592/9kbtlhp</w:t>
        </w:r>
      </w:hyperlink>
      <w:r w:rsidRPr="00AA4C55">
        <w:rPr>
          <w:rFonts w:ascii="Times New Roman" w:hAnsi="Times New Roman" w:cs="Times New Roman"/>
          <w:sz w:val="24"/>
          <w:szCs w:val="24"/>
        </w:rPr>
        <w:t xml:space="preserve"> (Dostęp 5. 01. 2025). </w:t>
      </w:r>
      <w:hyperlink r:id="rId11" w:history="1">
        <w:r w:rsidRPr="00AA4C55">
          <w:rPr>
            <w:rStyle w:val="Hipercze"/>
            <w:rFonts w:ascii="Times New Roman" w:hAnsi="Times New Roman" w:cs="Times New Roman"/>
            <w:sz w:val="24"/>
            <w:szCs w:val="24"/>
          </w:rPr>
          <w:t>COI: 20.500.12592/9kbtlhp</w:t>
        </w:r>
      </w:hyperlink>
      <w:r w:rsidRPr="00AA4C55">
        <w:rPr>
          <w:rFonts w:ascii="Times New Roman" w:hAnsi="Times New Roman" w:cs="Times New Roman"/>
          <w:sz w:val="24"/>
          <w:szCs w:val="24"/>
        </w:rPr>
        <w:t>.</w:t>
      </w:r>
    </w:p>
    <w:p w14:paraId="5CF9A101" w14:textId="4BFB3365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Duranton, G., &amp;Puga, D. (2004). Micro-foundations of urban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agglomeration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economies. In V. Henderson &amp; J. F. Thisse (Eds.), Handbook of Regional and Urban Economics (Vol. 4, pp. 2063–2117). Elsevier.</w:t>
      </w:r>
    </w:p>
    <w:p w14:paraId="6FA281C6" w14:textId="77777777" w:rsidR="00BA143B" w:rsidRPr="00AA4C55" w:rsidRDefault="00BA143B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383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l-PL"/>
        </w:rPr>
        <w:t>ESPON (20</w:t>
      </w:r>
      <w:r w:rsidR="00FB6DD0" w:rsidRPr="00383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l-PL"/>
        </w:rPr>
        <w:t>0</w:t>
      </w:r>
      <w:r w:rsidRPr="00383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l-PL"/>
        </w:rPr>
        <w:t>5)</w:t>
      </w:r>
      <w:r w:rsidR="00F82EB5" w:rsidRPr="00383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l-PL"/>
        </w:rPr>
        <w:t>.</w:t>
      </w:r>
      <w:r w:rsidR="00FB6DD0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Potentials for polycentric development in Europe. Luxembourg:</w:t>
      </w:r>
      <w:r w:rsidR="00FB1D9C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 xml:space="preserve"> Project ESPON 111</w:t>
      </w:r>
    </w:p>
    <w:p w14:paraId="485974AD" w14:textId="77777777" w:rsidR="00E40FDE" w:rsidRPr="0038316D" w:rsidRDefault="00E40FDE" w:rsidP="00E60462">
      <w:pPr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3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l-PL"/>
        </w:rPr>
        <w:t>ESPON (2012).</w:t>
      </w:r>
      <w:r w:rsidRPr="003831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KIT Knowledge, Innovation, Territory. Applied Research2013/1/13 Final Report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 Luxembourg: Project ESPON KIT</w:t>
      </w:r>
    </w:p>
    <w:p w14:paraId="2ADDF27B" w14:textId="77777777" w:rsidR="0079362E" w:rsidRPr="00AA4C55" w:rsidRDefault="0079362E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ESPON (2020)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 xml:space="preserve"> POLICY BRIEF Interregional relations in Europe. Luxembourg: Project IRIE</w:t>
      </w:r>
    </w:p>
    <w:p w14:paraId="1FAC2629" w14:textId="77777777" w:rsidR="00FB1D9C" w:rsidRPr="00AA4C55" w:rsidRDefault="00FB1D9C" w:rsidP="00E60462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ESPON (2021)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</w:t>
      </w:r>
      <w:r w:rsidRPr="00AA4C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FINAL REPORT //METRO – The role and future perspectives of cohesion policy In the planning of Metropolitan Areas and Cities. </w:t>
      </w:r>
      <w:r w:rsidRPr="00AA4C55">
        <w:rPr>
          <w:rFonts w:ascii="Times New Roman" w:eastAsia="CIDFont+F1" w:hAnsi="Times New Roman" w:cs="Times New Roman"/>
          <w:color w:val="000000" w:themeColor="text1"/>
          <w:sz w:val="24"/>
          <w:szCs w:val="24"/>
          <w:lang w:val="en-AU"/>
        </w:rPr>
        <w:t>Targeted Analysis. Annex II – The role of Metropolitan areas within the EU cohesion policy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 Luxembourg: Project METRO</w:t>
      </w:r>
    </w:p>
    <w:p w14:paraId="2A40C5B1" w14:textId="77777777" w:rsidR="00A67515" w:rsidRPr="00AA4C55" w:rsidRDefault="00A67515" w:rsidP="00E60462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ESPON (2021</w:t>
      </w:r>
      <w:r w:rsidR="00986B58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a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)</w:t>
      </w:r>
      <w:r w:rsidRPr="00AA4C5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FINAL REPORT //METRO – The role and future perspectives of cohesion policy In the planning of Metropolitan Areas and Cities. </w:t>
      </w:r>
      <w:r w:rsidRPr="00AA4C55">
        <w:rPr>
          <w:rFonts w:ascii="Times New Roman" w:eastAsia="CIDFont+F1" w:hAnsi="Times New Roman" w:cs="Times New Roman"/>
          <w:color w:val="000000" w:themeColor="text1"/>
          <w:sz w:val="24"/>
          <w:szCs w:val="24"/>
          <w:lang w:val="en-AU"/>
        </w:rPr>
        <w:t xml:space="preserve">Targeted Analysis. </w:t>
      </w:r>
      <w:r w:rsidR="00F82EB5" w:rsidRPr="00AA4C5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AU" w:eastAsia="pl-PL"/>
        </w:rPr>
        <w:t>Annex VII // Gdańsk-Gdynia-Sopot Metropolitan Area case study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 Luxembourg: Project METRO</w:t>
      </w:r>
    </w:p>
    <w:p w14:paraId="11ECE621" w14:textId="77777777" w:rsidR="008B1579" w:rsidRPr="00AA4C55" w:rsidRDefault="00C76458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EU (2024)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.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 xml:space="preserve"> Forging a Sustainable Future Together: Cohesion for a Competitive and Inclusive Europe.  Report of the High-Level Group on the Future of Cohesion Policy. Brussels: European Commission</w:t>
      </w:r>
    </w:p>
    <w:p w14:paraId="484536C3" w14:textId="77777777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Florida, R. (2002). The Rise of the Creative Class. 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New York: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Basic Books.</w:t>
      </w:r>
    </w:p>
    <w:p w14:paraId="2252A837" w14:textId="77777777" w:rsidR="003D08DF" w:rsidRPr="00AA4C55" w:rsidRDefault="003D08DF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Fu</w:t>
      </w:r>
      <w:r w:rsidR="00E706A3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t>jita M., Krugman P., Venables A.J (1999). The Spatial Economy. Cambridge, London: The MIT Press</w:t>
      </w:r>
    </w:p>
    <w:p w14:paraId="580C037F" w14:textId="7EEF88B2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Fung, A. (2006). Varieties of participation in complex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governance. Public Administration Review, 66(1)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66–75.</w:t>
      </w:r>
    </w:p>
    <w:p w14:paraId="5FEEFDD8" w14:textId="3AFCF2A9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Glaeser, E. L. (2011). Triumph of the City: How Our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Greatest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Invention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Makes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Richer, Smarter, Greener, Healthier, and Happier. 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London i in: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Penguin Press.</w:t>
      </w:r>
    </w:p>
    <w:p w14:paraId="6E8D3815" w14:textId="77777777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Hallegatte, S., Vogt-Schilb, A., Bangalore, M., &amp; Rozenberg, J. (2017). Unbreakable: Building the Resilience of the Poor in the Face of Natural Disasters. 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Wahigton DC: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World Bank Publications.</w:t>
      </w:r>
    </w:p>
    <w:p w14:paraId="3AAD7E0F" w14:textId="14F6028E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Harvey, D. (2008). The right to the city. International Journal of Urban and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Research, 27(4)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939–941.</w:t>
      </w:r>
    </w:p>
    <w:p w14:paraId="2CC9C5D0" w14:textId="77777777" w:rsidR="007F354A" w:rsidRPr="00AA4C55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Jacobs, J. (1969). The Economy of Cities. </w:t>
      </w:r>
      <w:r w:rsidR="00D06C39" w:rsidRPr="00AA4C55">
        <w:rPr>
          <w:rFonts w:ascii="Times New Roman" w:hAnsi="Times New Roman" w:cs="Times New Roman"/>
          <w:sz w:val="24"/>
          <w:szCs w:val="24"/>
        </w:rPr>
        <w:t xml:space="preserve">New York: </w:t>
      </w:r>
      <w:r w:rsidRPr="00AA4C55">
        <w:rPr>
          <w:rFonts w:ascii="Times New Roman" w:hAnsi="Times New Roman" w:cs="Times New Roman"/>
          <w:sz w:val="24"/>
          <w:szCs w:val="24"/>
        </w:rPr>
        <w:t>Random House.</w:t>
      </w:r>
    </w:p>
    <w:p w14:paraId="53B69786" w14:textId="77777777" w:rsidR="00F82EB5" w:rsidRPr="00AA4C55" w:rsidRDefault="00F82EB5" w:rsidP="00E60462">
      <w:p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C55">
        <w:rPr>
          <w:rFonts w:ascii="Times New Roman" w:hAnsi="Times New Roman" w:cs="Times New Roman"/>
          <w:bCs/>
          <w:sz w:val="24"/>
          <w:szCs w:val="24"/>
        </w:rPr>
        <w:t xml:space="preserve">Korcelli P., Degórski M., Drzazga D., Komornicki T., Markowski T., Szlachta J., Węcławowicz G., Zaleski J., Zaucha  J. (2010). Ekspercki projekt koncepcji przestrzennego zagospodarowania kraju do roku 2033, </w:t>
      </w:r>
      <w:r w:rsidRPr="00AA4C55">
        <w:rPr>
          <w:rFonts w:ascii="Times New Roman" w:hAnsi="Times New Roman" w:cs="Times New Roman"/>
          <w:sz w:val="24"/>
          <w:szCs w:val="24"/>
        </w:rPr>
        <w:t>Studia KPZK</w:t>
      </w:r>
      <w:r w:rsidRPr="00AA4C55">
        <w:rPr>
          <w:rFonts w:ascii="Times New Roman" w:hAnsi="Times New Roman" w:cs="Times New Roman"/>
          <w:bCs/>
          <w:sz w:val="24"/>
          <w:szCs w:val="24"/>
        </w:rPr>
        <w:t>, tom CXXVIII. Warszawa:  KPZK PAN</w:t>
      </w:r>
    </w:p>
    <w:p w14:paraId="1EDFDD27" w14:textId="77777777" w:rsidR="00F575F4" w:rsidRPr="0038316D" w:rsidRDefault="00CE7DB4" w:rsidP="00E60462">
      <w:pP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Kowalewski</w:t>
      </w:r>
      <w:r w:rsidR="00F575F4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A.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Markowski</w:t>
      </w:r>
      <w:r w:rsidR="00F575F4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T.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Śleszyński </w:t>
      </w:r>
      <w:r w:rsidR="00F575F4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P. 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(red.) (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18)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Koszty chaosu przestrzennego</w:t>
      </w:r>
      <w:r w:rsidR="00011911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r w:rsidR="00F575F4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Studia KPZK PAN” (tom 182)  Studia nad chaosem przestrzennym, </w:t>
      </w:r>
      <w:r w:rsidR="00F82EB5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cześć</w:t>
      </w:r>
      <w:r w:rsidR="00F575F4"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II</w:t>
      </w:r>
      <w:r w:rsidR="00F82EB5" w:rsidRPr="00AA4C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2EB5" w:rsidRPr="0038316D">
        <w:rPr>
          <w:rFonts w:ascii="Times New Roman" w:hAnsi="Times New Roman" w:cs="Times New Roman"/>
          <w:bCs/>
          <w:sz w:val="24"/>
          <w:szCs w:val="24"/>
          <w:lang w:val="en-US"/>
        </w:rPr>
        <w:t>Warszawa:  KPZK PAN</w:t>
      </w:r>
    </w:p>
    <w:p w14:paraId="0D33E31C" w14:textId="695017CE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Krugman, P. (1991). Increasing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returns and 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geography. Journal of Political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Economy, 99(3), 483–499. </w:t>
      </w:r>
      <w:hyperlink r:id="rId12" w:tgtFrame="_blank" w:history="1">
        <w:r w:rsidRPr="0038316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https://doi.org/10.1086/261763</w:t>
        </w:r>
      </w:hyperlink>
    </w:p>
    <w:p w14:paraId="1A9C56A8" w14:textId="76C7655F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Krugman, P. (1998). Space: The final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frontier. Journal of 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Perspectives, 12(2)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161–174.</w:t>
      </w:r>
    </w:p>
    <w:p w14:paraId="7AB52852" w14:textId="77777777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Lefebvre, H. (1996). Writings on Cities. 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Oxford, Madlen: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Wiley-Blackwell.</w:t>
      </w:r>
    </w:p>
    <w:p w14:paraId="12D8C1F6" w14:textId="50652AA0" w:rsidR="00F16B63" w:rsidRPr="00AA4C55" w:rsidRDefault="00F16B63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Letta E. (2024) Much more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than a Market European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Commission. </w:t>
      </w:r>
      <w:r w:rsidRPr="00AA4C55">
        <w:rPr>
          <w:rFonts w:ascii="Times New Roman" w:hAnsi="Times New Roman" w:cs="Times New Roman"/>
          <w:sz w:val="24"/>
          <w:szCs w:val="24"/>
        </w:rPr>
        <w:t xml:space="preserve">Belgium. Pozyskany z  https://www.consilium.europa.eu/media/ny3j24sm/much-more-than-a-market-report-by-enrico-letta.pdf (Dostęp 5.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01. 2025)</w:t>
      </w:r>
    </w:p>
    <w:p w14:paraId="2095AAB3" w14:textId="542120D4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McCann, P. (2013). Modern Urban and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Economics. </w:t>
      </w:r>
      <w:r w:rsidR="00D06C39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Oxford: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Oxford University Press.</w:t>
      </w:r>
    </w:p>
    <w:p w14:paraId="28C24E93" w14:textId="77777777" w:rsidR="00011911" w:rsidRPr="00AA4C55" w:rsidRDefault="00756E67" w:rsidP="00E60462">
      <w:pPr>
        <w:spacing w:after="12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en-AU"/>
        </w:rPr>
      </w:pPr>
      <w:r w:rsidRPr="00AA4C55">
        <w:rPr>
          <w:rFonts w:ascii="Times New Roman" w:hAnsi="Times New Roman" w:cs="Times New Roman"/>
          <w:sz w:val="24"/>
          <w:szCs w:val="24"/>
          <w:lang w:val="en-AU"/>
        </w:rPr>
        <w:t>Medeiros E., Rauhut D., (2020)</w:t>
      </w:r>
      <w:r w:rsidR="00F82EB5" w:rsidRPr="00AA4C55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AA4C55">
        <w:rPr>
          <w:rFonts w:ascii="Times New Roman" w:hAnsi="Times New Roman" w:cs="Times New Roman"/>
          <w:bCs/>
          <w:sz w:val="24"/>
          <w:szCs w:val="24"/>
          <w:lang w:val="en-AU"/>
        </w:rPr>
        <w:t>Territorial Cohesion Cities: a policy recipe for achieving Territorial Cohesion?</w:t>
      </w:r>
      <w:r w:rsidRPr="00AA4C55">
        <w:rPr>
          <w:rFonts w:ascii="Times New Roman" w:hAnsi="Times New Roman" w:cs="Times New Roman"/>
          <w:sz w:val="24"/>
          <w:szCs w:val="24"/>
          <w:lang w:val="en-AU"/>
        </w:rPr>
        <w:t xml:space="preserve">," Regional Studies, 54(1):  120-128, </w:t>
      </w:r>
    </w:p>
    <w:p w14:paraId="414D240F" w14:textId="60CA0ED3" w:rsidR="007F354A" w:rsidRPr="00AA4C55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Moretti, E. (2012). The New Geography of Jobs.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462" w:rsidRPr="00AA4C55">
        <w:rPr>
          <w:rFonts w:ascii="Times New Roman" w:hAnsi="Times New Roman" w:cs="Times New Roman"/>
          <w:sz w:val="24"/>
          <w:szCs w:val="24"/>
        </w:rPr>
        <w:t>Boston: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>Houghton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>Mifflin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>Harcourt.</w:t>
      </w:r>
    </w:p>
    <w:p w14:paraId="476D384D" w14:textId="42A79AEE" w:rsidR="00F82EB5" w:rsidRPr="00AA4C55" w:rsidRDefault="00F82EB5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Mroczek A. (2022). Współczesne dyskusje o rozwoju miast – w kierunku procesów metropolizacji. Kraków:</w:t>
      </w:r>
      <w:r w:rsidR="001D33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Wydawnictwo Uniwersytetu Ekonomicznego w Krakowie</w:t>
      </w:r>
    </w:p>
    <w:p w14:paraId="4415CE8B" w14:textId="32EF73FA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C55">
        <w:rPr>
          <w:rFonts w:ascii="Times New Roman" w:hAnsi="Times New Roman" w:cs="Times New Roman"/>
          <w:sz w:val="24"/>
          <w:szCs w:val="24"/>
        </w:rPr>
        <w:t>Newman, P., &amp;</w:t>
      </w:r>
      <w:r w:rsidR="001D3392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 xml:space="preserve">Kenworthy, J. (1999).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Sustainability and Cities: Overcoming Automobile Dependence. 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Washington: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Island Press.</w:t>
      </w:r>
    </w:p>
    <w:p w14:paraId="13A18BE8" w14:textId="081B75B9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OECD. (2015). The Metropolitan Century: Understanding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Urbanisation and its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Consequences. Paris: OECD Publishing.</w:t>
      </w:r>
    </w:p>
    <w:p w14:paraId="3780FBDA" w14:textId="77777777" w:rsidR="007F354A" w:rsidRPr="0038316D" w:rsidRDefault="007F354A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OECD. (2020). Cities in the World: A New Perspective on Urbanization. Paris: OECD Publishing. </w:t>
      </w:r>
    </w:p>
    <w:p w14:paraId="6A4AB95A" w14:textId="207FFCD2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Ottaviano, G. (2020). Transport infrastructure and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growth: Evidence from European Investment Bank projects. European Investment Bank Working Paper Serie</w:t>
      </w:r>
    </w:p>
    <w:p w14:paraId="4FB5A5C2" w14:textId="77777777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Porter, M. E. (1990). The Competitive Advantage of Nations. New York: Free Press.</w:t>
      </w:r>
    </w:p>
    <w:p w14:paraId="06A4EB2E" w14:textId="1FD1E0FB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Puga, D. (1999). The rise and fall of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inequalities. European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Review, 43(2): 303–334. </w:t>
      </w:r>
      <w:hyperlink r:id="rId13" w:tgtFrame="_blank" w:history="1">
        <w:r w:rsidRPr="0038316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https://doi.org/10.1016/S0014-2921(98)00061-2</w:t>
        </w:r>
      </w:hyperlink>
    </w:p>
    <w:p w14:paraId="7FDF062B" w14:textId="57BA0D89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Rodríguez-Pose, A. (2018). The revenge of the place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sthatdon’t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matter (and what to do about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it). Cambridge Journal of Regions, Economy and Society, 11(1): 189–209. </w:t>
      </w:r>
      <w:hyperlink r:id="rId14" w:tgtFrame="_blank" w:history="1">
        <w:r w:rsidRPr="0038316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https://doi.org/10.1093/cjres/rsx024</w:t>
        </w:r>
      </w:hyperlink>
    </w:p>
    <w:p w14:paraId="29FCA43F" w14:textId="415C1B75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lastRenderedPageBreak/>
        <w:t>Romer, P. M. (1990). Endogenous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change. Journal of Political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Economy, 98(5, Part 2): S71–S102.</w:t>
      </w:r>
    </w:p>
    <w:p w14:paraId="5C35CBD8" w14:textId="05961C4B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Rosenthal, S. S., &amp;Strange, W. C. (2004). Evidence on the nature and sources of agglomeration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economies. In: V. Henderson &amp; J. F. Thisse (Eds.), Handbook of Regional and Urban Economics (Vol. 4, pp. 2119–2171). Elsevier.</w:t>
      </w:r>
    </w:p>
    <w:p w14:paraId="16D9F7D6" w14:textId="756CE957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Sachs, J. D., &amp; Warner, A. M. (2001). The curse of natural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resources. European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Review, 45(4-6): 827–838.</w:t>
      </w:r>
    </w:p>
    <w:p w14:paraId="43058277" w14:textId="64D745E2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Sala-i-Martin, X. (1996).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cohesion: Evidence and theories of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 and convergence. European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Review, 40(6):1325–1352.</w:t>
      </w:r>
    </w:p>
    <w:p w14:paraId="456AF223" w14:textId="02D33A00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Satterthwaite, D. (2009). The implications of population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growth and urbanization for climate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change. Environment and Urbanization, 21(2): 545–567.</w:t>
      </w:r>
    </w:p>
    <w:p w14:paraId="32D7F990" w14:textId="3F4F3E23" w:rsidR="00E60462" w:rsidRPr="0038316D" w:rsidRDefault="00E60462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Scott, A. J., &amp;Storper, M. (2015). The nature of cities: The scope and limits of urban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theory. International Journal of Urban and Regional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Research, 39(1): 1–15.</w:t>
      </w:r>
    </w:p>
    <w:p w14:paraId="228DE2C7" w14:textId="77777777" w:rsidR="00E60462" w:rsidRPr="00AA4C55" w:rsidRDefault="00E60462" w:rsidP="00E60462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1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Smętkowski M., Jałowiecki B., Gorzelak G. (2008). </w:t>
      </w:r>
      <w:r w:rsidRPr="00AA4C55">
        <w:rPr>
          <w:rFonts w:ascii="Times New Roman" w:hAnsi="Times New Roman" w:cs="Times New Roman"/>
          <w:bCs/>
          <w:sz w:val="24"/>
          <w:szCs w:val="24"/>
        </w:rPr>
        <w:t>Obszary metropolitalne w Polsce: Problemy rozwojowe i delimitacja. Warszawa: Centrum Europejskich Studiów Regionalnych i Lokalnych (EUROREG) Uniwersytet Warszawski</w:t>
      </w:r>
    </w:p>
    <w:p w14:paraId="3841C17D" w14:textId="15516125" w:rsidR="00E60462" w:rsidRPr="00AA4C55" w:rsidRDefault="00E60462" w:rsidP="00E60462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Storper, M. (2013).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Keys to the City: How Economics, Institutions, Social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Interaction, and Politics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Shape Development. </w:t>
      </w:r>
      <w:r w:rsidRPr="00AA4C55">
        <w:rPr>
          <w:rFonts w:ascii="Times New Roman" w:hAnsi="Times New Roman" w:cs="Times New Roman"/>
          <w:sz w:val="24"/>
          <w:szCs w:val="24"/>
        </w:rPr>
        <w:t>Princeton: Princeton University Press</w:t>
      </w:r>
    </w:p>
    <w:p w14:paraId="4DA8A00B" w14:textId="77777777" w:rsidR="00445F58" w:rsidRPr="00AA4C55" w:rsidRDefault="00F82EB5" w:rsidP="00E60462">
      <w:pPr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Śleszyński, P., Kukołowicz, P. (2021). Społeczno-gospodarcze skutki chaosu przestrzennego, Warszawa: Polski Instytut Ekonomiczny</w:t>
      </w:r>
    </w:p>
    <w:p w14:paraId="59109259" w14:textId="574A2F3F" w:rsidR="00445F58" w:rsidRPr="0038316D" w:rsidRDefault="00445F58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Tiebout, C. M. (1956). A puretheory of local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expenditures. Journal of Political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Economy, 64(5)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416–424.</w:t>
      </w:r>
    </w:p>
    <w:p w14:paraId="6BCB3DB1" w14:textId="24234CB9" w:rsidR="00445F58" w:rsidRPr="0038316D" w:rsidRDefault="00445F58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World Bank. (2009). World Development Report: Reshaping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Geography. 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Washington DC: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World Bank.</w:t>
      </w:r>
    </w:p>
    <w:p w14:paraId="6F0A9593" w14:textId="24B10899" w:rsidR="00445F58" w:rsidRPr="0038316D" w:rsidRDefault="00445F58" w:rsidP="00E60462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16D">
        <w:rPr>
          <w:rFonts w:ascii="Times New Roman" w:hAnsi="Times New Roman" w:cs="Times New Roman"/>
          <w:sz w:val="24"/>
          <w:szCs w:val="24"/>
          <w:lang w:val="en-US"/>
        </w:rPr>
        <w:t>Young, A. (1998). Growth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outscale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effects. Journal of Political</w:t>
      </w:r>
      <w:r w:rsidR="001D3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>Economy, 106(1)</w:t>
      </w:r>
      <w:r w:rsidR="00E60462" w:rsidRPr="003831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8316D">
        <w:rPr>
          <w:rFonts w:ascii="Times New Roman" w:hAnsi="Times New Roman" w:cs="Times New Roman"/>
          <w:sz w:val="24"/>
          <w:szCs w:val="24"/>
          <w:lang w:val="en-US"/>
        </w:rPr>
        <w:t xml:space="preserve"> 41–63.</w:t>
      </w:r>
    </w:p>
    <w:p w14:paraId="0419265C" w14:textId="77777777" w:rsidR="000B4C21" w:rsidRPr="00AA4C55" w:rsidRDefault="000B4C21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  <w:r w:rsidRPr="00AA4C5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  <w:br w:type="page"/>
      </w:r>
    </w:p>
    <w:p w14:paraId="53E157EF" w14:textId="77777777" w:rsidR="00F82EB5" w:rsidRPr="00AA4C55" w:rsidRDefault="00F82EB5" w:rsidP="00F82EB5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AU" w:eastAsia="pl-PL"/>
        </w:rPr>
      </w:pPr>
    </w:p>
    <w:p w14:paraId="06F754BA" w14:textId="77777777" w:rsidR="00084AF6" w:rsidRPr="00AA4C55" w:rsidRDefault="00084AF6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A4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Aneks</w:t>
      </w:r>
      <w:r w:rsidR="00FB1D9C" w:rsidRPr="00AA4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1</w:t>
      </w:r>
      <w:r w:rsidRPr="00AA4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597A226F" w14:textId="77777777" w:rsidR="00084AF6" w:rsidRPr="00E83A98" w:rsidRDefault="00084AF6" w:rsidP="00E83A9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Wybrane rekomendacje ESPON</w:t>
      </w:r>
      <w:r w:rsidR="00FB1D9C"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METRO </w:t>
      </w:r>
      <w:r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(</w:t>
      </w:r>
      <w:r w:rsidR="00FB1D9C"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ESPON </w:t>
      </w:r>
      <w:r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202</w:t>
      </w:r>
      <w:r w:rsidR="00FB1D9C"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1,104</w:t>
      </w:r>
      <w:r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) odnośnie roli szczebla metropolitalnego w zakresie Polityki Spójności</w:t>
      </w:r>
      <w:r w:rsidR="00FB1D9C" w:rsidRP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</w:p>
    <w:p w14:paraId="3D87E560" w14:textId="77777777" w:rsidR="00145324" w:rsidRPr="00AA4C55" w:rsidRDefault="00084AF6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A4C55">
        <w:rPr>
          <w:rStyle w:val="Pogrubienie"/>
        </w:rPr>
        <w:t>Uznanie</w:t>
      </w:r>
    </w:p>
    <w:p w14:paraId="217760AE" w14:textId="77777777" w:rsidR="00084AF6" w:rsidRDefault="00084AF6" w:rsidP="00145324">
      <w:pPr>
        <w:pStyle w:val="NormalnyWeb"/>
        <w:spacing w:before="0" w:beforeAutospacing="0" w:after="0" w:afterAutospacing="0"/>
        <w:jc w:val="both"/>
      </w:pPr>
      <w:r>
        <w:br/>
        <w:t xml:space="preserve">Należy uznać kluczową rolę, jaką poziom metropolitalny może odegrać w radzeniu sobie </w:t>
      </w:r>
      <w:r w:rsidR="00024F7C">
        <w:br/>
      </w:r>
      <w:r>
        <w:t>z wyzwaniami społeczno-ekonomicznymi, ś</w:t>
      </w:r>
      <w:r w:rsidR="00145324">
        <w:t>rodowiskowymi i terytorialnymi.</w:t>
      </w:r>
    </w:p>
    <w:p w14:paraId="7BC4ADA7" w14:textId="77777777" w:rsidR="00145324" w:rsidRDefault="00145324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4346D395" w14:textId="77777777" w:rsidR="00145324" w:rsidRDefault="00084AF6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Zaangażowanie</w:t>
      </w:r>
    </w:p>
    <w:p w14:paraId="0F2FD4F9" w14:textId="77777777" w:rsidR="00B8324D" w:rsidRDefault="00084AF6" w:rsidP="00145324">
      <w:pPr>
        <w:pStyle w:val="NormalnyWeb"/>
        <w:spacing w:before="0" w:beforeAutospacing="0" w:after="0" w:afterAutospacing="0"/>
        <w:jc w:val="both"/>
      </w:pPr>
      <w:r>
        <w:br/>
        <w:t xml:space="preserve">Należy </w:t>
      </w:r>
      <w:r w:rsidR="0098726B">
        <w:t>zaangażować</w:t>
      </w:r>
      <w:r>
        <w:t xml:space="preserve"> instytucje metropolitalne w projektowanie polityki spójności UE, krajowych i regionalnych programów operacyjnych, a także w ramach </w:t>
      </w:r>
      <w:r w:rsidRPr="00145324">
        <w:rPr>
          <w:i/>
        </w:rPr>
        <w:t>Instrumentu na rzecz Odbudowy i Zwiększania Odporności</w:t>
      </w:r>
      <w:r>
        <w:t xml:space="preserve"> oraz </w:t>
      </w:r>
      <w:r w:rsidRPr="00145324">
        <w:rPr>
          <w:i/>
        </w:rPr>
        <w:t>Zielonego Ładu</w:t>
      </w:r>
      <w:r>
        <w:t>, aby wzbogacić je o wymiar metropolitalny.</w:t>
      </w:r>
      <w:r>
        <w:br/>
      </w:r>
    </w:p>
    <w:p w14:paraId="3909FFC4" w14:textId="77777777" w:rsidR="00145324" w:rsidRDefault="00383F74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Decentralizacja</w:t>
      </w:r>
    </w:p>
    <w:p w14:paraId="4FA5DB98" w14:textId="77777777" w:rsidR="00B8324D" w:rsidRDefault="00084AF6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br/>
      </w:r>
      <w:r w:rsidR="00B8324D">
        <w:t xml:space="preserve">Należy przekazać </w:t>
      </w:r>
      <w:r>
        <w:t xml:space="preserve"> część zarządzania polityką spójności UE (oraz innych programów finansowanych przez UE) instytucjom metropolitalnym w odniesieniu do tych priorytetów, </w:t>
      </w:r>
      <w:r w:rsidR="00024F7C">
        <w:br/>
      </w:r>
      <w:r>
        <w:t xml:space="preserve">w których zarządzanie na poziomie metropolitalnym zapewnia </w:t>
      </w:r>
      <w:r w:rsidR="00145324">
        <w:t>lepsz</w:t>
      </w:r>
      <w:r>
        <w:t xml:space="preserve">y </w:t>
      </w:r>
      <w:r w:rsidR="00145324">
        <w:t>efekt</w:t>
      </w:r>
      <w:r>
        <w:t>.</w:t>
      </w:r>
      <w:r>
        <w:br/>
      </w:r>
    </w:p>
    <w:p w14:paraId="28E62472" w14:textId="77777777" w:rsidR="00145324" w:rsidRDefault="00084AF6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Konsolidacja zarządzania wielopoziomowego</w:t>
      </w:r>
    </w:p>
    <w:p w14:paraId="2010F52B" w14:textId="77777777" w:rsidR="00145324" w:rsidRDefault="00145324" w:rsidP="00145324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459A3E99" w14:textId="77777777" w:rsidR="00084AF6" w:rsidRDefault="00B8324D" w:rsidP="00145324">
      <w:pPr>
        <w:pStyle w:val="NormalnyWeb"/>
        <w:spacing w:before="0" w:beforeAutospacing="0" w:after="0" w:afterAutospacing="0"/>
        <w:jc w:val="both"/>
      </w:pPr>
      <w:r>
        <w:t>Należy w</w:t>
      </w:r>
      <w:r w:rsidR="00084AF6">
        <w:t>ykorzysta</w:t>
      </w:r>
      <w:r>
        <w:t>ć</w:t>
      </w:r>
      <w:r w:rsidR="00084AF6">
        <w:t xml:space="preserve"> politykę spójności UE jako sposób na stworzenie spójnej struktury zarządzania wielopoziomowego, która zapewni skuteczną koordynację planowania i polityk UE, krajowych, regionalnych, metropolitalnych i lokalnych. W ten sposób </w:t>
      </w:r>
      <w:r>
        <w:t xml:space="preserve">powstanie </w:t>
      </w:r>
      <w:r w:rsidR="00084AF6">
        <w:t xml:space="preserve">impuls do instytucjonalizacji obszarów metropolitalnych </w:t>
      </w:r>
      <w:r>
        <w:t>(a w razie potrzeby ich prawnego uznania)</w:t>
      </w:r>
      <w:r w:rsidR="00084AF6">
        <w:t xml:space="preserve">jako kluczowego terytorialnego </w:t>
      </w:r>
      <w:r>
        <w:t xml:space="preserve">odniesienia </w:t>
      </w:r>
      <w:r w:rsidR="00084AF6">
        <w:t>dla krajowych i regionalnych polityk publicznych.</w:t>
      </w:r>
    </w:p>
    <w:p w14:paraId="49605477" w14:textId="77777777" w:rsidR="00F82EB5" w:rsidRDefault="00F82EB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0F952DC1" w14:textId="77777777" w:rsidR="00F82EB5" w:rsidRDefault="00F82EB5" w:rsidP="00084AF6">
      <w:pPr>
        <w:pStyle w:val="NormalnyWeb"/>
      </w:pPr>
    </w:p>
    <w:p w14:paraId="6908F464" w14:textId="77777777" w:rsidR="00084AF6" w:rsidRPr="00F82EB5" w:rsidRDefault="00D86852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82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Aneks 2</w:t>
      </w:r>
      <w:r w:rsidR="000B4C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</w:t>
      </w:r>
      <w:r w:rsidRPr="00F82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Ry</w:t>
      </w:r>
      <w:r w:rsidR="000B4C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ciny</w:t>
      </w:r>
      <w:r w:rsidR="00E83A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F82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poglądowe</w:t>
      </w:r>
    </w:p>
    <w:p w14:paraId="179491C6" w14:textId="77777777" w:rsidR="00D86852" w:rsidRDefault="00D86852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8685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pl-PL"/>
        </w:rPr>
        <w:drawing>
          <wp:inline distT="0" distB="0" distL="0" distR="0" wp14:anchorId="2AEE1C1D" wp14:editId="0BB94CC5">
            <wp:extent cx="5760720" cy="3770252"/>
            <wp:effectExtent l="1905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90C8E" w14:textId="77777777" w:rsidR="00D86852" w:rsidRDefault="00D86852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Rys 1.</w:t>
      </w:r>
      <w:r w:rsidR="000B4C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OMGGS jako byt ekonomiczny − </w:t>
      </w:r>
      <w:r w:rsidR="001E18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Ocena łącznej produktywności czynników produkcji w roku 2011 (średnia dla Polski =100) (Brodzicki, Ciołek2015)</w:t>
      </w:r>
      <w:r w:rsidR="00024F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25538332" w14:textId="77777777" w:rsidR="00B22BFA" w:rsidRDefault="00B22BFA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FDCE651" w14:textId="77777777" w:rsidR="00B22BFA" w:rsidRDefault="00257A03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pl-PL"/>
        </w:rPr>
        <w:drawing>
          <wp:inline distT="0" distB="0" distL="0" distR="0" wp14:anchorId="5EC2D8F0" wp14:editId="740951F1">
            <wp:extent cx="5332730" cy="2304415"/>
            <wp:effectExtent l="1905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C5A0A" w14:textId="77777777" w:rsidR="00B22BFA" w:rsidRDefault="00B22BFA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Rys.2</w:t>
      </w:r>
      <w:r w:rsidR="00F82E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0B4C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Korzyści aglomeracji −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PKB na km kwadratowy w </w:t>
      </w:r>
      <w:r w:rsidR="00257A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(Bank Światowy 2009</w:t>
      </w:r>
      <w:r w:rsidR="00257A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XX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</w:t>
      </w:r>
      <w:r w:rsidR="00024F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4596F658" w14:textId="77777777" w:rsidR="00445F58" w:rsidRDefault="00445F58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B755719" w14:textId="77777777" w:rsidR="00445F58" w:rsidRPr="00AA4C55" w:rsidRDefault="00445F58" w:rsidP="008B1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A4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Aneks 3. Teorie ekonomiczne przemawiające za potrzebą formalizacji OMGGGS</w:t>
      </w:r>
      <w:r w:rsidRPr="00AA4C55">
        <w:rPr>
          <w:rStyle w:val="Odwoanieprzypisudolnego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footnoteReference w:id="5"/>
      </w:r>
    </w:p>
    <w:p w14:paraId="6F9B3EB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Formalizacja Obszaru Metropolitalnego Gdańsk-</w:t>
      </w:r>
      <w:r w:rsidR="00E83A98" w:rsidRPr="00AA4C55">
        <w:rPr>
          <w:rFonts w:ascii="Times New Roman" w:hAnsi="Times New Roman" w:cs="Times New Roman"/>
          <w:b/>
          <w:bCs/>
          <w:sz w:val="24"/>
          <w:szCs w:val="24"/>
        </w:rPr>
        <w:t>Gdynia-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Sopot (OMGGS)</w:t>
      </w:r>
    </w:p>
    <w:p w14:paraId="31C1A3C9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Obszaru Metropolitalnego </w:t>
      </w:r>
      <w:r w:rsidR="00E83A98">
        <w:rPr>
          <w:rFonts w:ascii="Times New Roman" w:hAnsi="Times New Roman" w:cs="Times New Roman"/>
          <w:sz w:val="24"/>
          <w:szCs w:val="24"/>
        </w:rPr>
        <w:t>OMGGS</w:t>
      </w:r>
      <w:r w:rsidRPr="00AA4C55">
        <w:rPr>
          <w:rFonts w:ascii="Times New Roman" w:hAnsi="Times New Roman" w:cs="Times New Roman"/>
          <w:sz w:val="24"/>
          <w:szCs w:val="24"/>
        </w:rPr>
        <w:t xml:space="preserve"> stanowi kluczowy krok w kierunku rozwiązania problemów związanych z rozproszonym zarządzaniem, poprawy efektywności gospodarczej i wspierania wzrostu regionalnego. </w:t>
      </w:r>
    </w:p>
    <w:p w14:paraId="6CB51D93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Korzystając z kluczowych ram teoretycznych, takich jak Teoria Nowego Wzrostu (NGT), Nowa Geografia Ekonomiczna (NEG), Nowa-Nowa Geografia Ekonomiczna (NNEG) oraz teoria determinant instytucjonalnych wzrostu, możliwe jest pogłębienie zrozumienia potencjalnego wpływu formalizacji OMGGS.</w:t>
      </w:r>
    </w:p>
    <w:p w14:paraId="7B3C7C2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1.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Rozwój gospodarczy</w:t>
      </w:r>
    </w:p>
    <w:p w14:paraId="5A739F6F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NGT podkreśla rolę wiedzy, innowacji i kapitału ludzkiego jako czynników długoterminowego wzrostu (Romer, 1990; Barro i Sala-i-Martin, 2004). Formalizacja OMGGS jako obszaru metropolitalnego mogłaby:</w:t>
      </w:r>
    </w:p>
    <w:p w14:paraId="20B8593E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Wspierać efekty spillover wiedzy poprzez tworzenie silniejszych powiązań między uniwersytetami, przemysłem i instytucjami publicznymi. To podejście znajduje odzwierciedlenie w sukcesie Barcelony, gdzie zarządzanie metropolitalne wspiera innowacyjne dzielnice i promuje badania i rozwój (Boschma, 2005; Rodríguez-Pose, 2018).</w:t>
      </w:r>
    </w:p>
    <w:p w14:paraId="5B4452EC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160" w:afterAutospacing="0" w:line="256" w:lineRule="auto"/>
        <w:jc w:val="both"/>
      </w:pPr>
      <w:r w:rsidRPr="00AA4C55">
        <w:t>Promować akumulację kapitału ludzkiego poprzez skoordynowane programy edukacyjne i rozwój kompetencji. Podobne działania są realizowane w Kendall Square w Bostonie, gdzie współpraca instytucjonalna napędza innowacje (Moretti, 2012).</w:t>
      </w:r>
    </w:p>
    <w:p w14:paraId="672E18CD" w14:textId="77777777" w:rsidR="00445F58" w:rsidRPr="00AA4C55" w:rsidRDefault="00445F58" w:rsidP="00AA4C55">
      <w:pPr>
        <w:spacing w:after="160" w:line="256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6E7A4DFB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2.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Dynamika przestrzenna</w:t>
      </w:r>
    </w:p>
    <w:p w14:paraId="650E8A6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NEG dostarcza fundamentalnych spostrzeżeń na temat przestrzennej aglomeracji działalności gospodarczej, podczas gdy NNEG rozszerza te modele, uwzględniając dynamikę zachowań firm i integrację z globalnymi łańcuchami wartości (Krugman, 1991; Baldwin i Martin, 2004).</w:t>
      </w:r>
    </w:p>
    <w:p w14:paraId="79E03A67" w14:textId="59F0C86E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Korzyści aglomeracji: Formalizacja zwiększa produktywność dzięki aglomeracji działalności gospodarczej, redukcji kosztów transportu i poprawie dostępu do dostawców oraz siły roboczej (Rosenthal i Strange, 2004). Przykładem jest Randstad w Holandii, gdzie policentryczne zarządzanie koordynuje działalność gospodarczą między miastami (McCann, 2013).</w:t>
      </w:r>
    </w:p>
    <w:p w14:paraId="2A2D68F8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Dynamiczne grupowanie: NNEG podkreśla znaczenie adaptacyjnych sieci. OMGGS, z formalnym zarządzaniem, mogłoby przyciągać korporacje międzynarodowe i budować ekosystemy dostawców, podobnie jak region metropolitalny Stuttgartu w Niemczech (Duranton i Puga, 2004; Scott i Storper, 2015).</w:t>
      </w:r>
    </w:p>
    <w:p w14:paraId="2B20CD22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 xml:space="preserve">Efekty infrastrukturalne: Poprawa transportu zmniejsza koszty transakcyjne i wzmacnia integrację regionalną. Ottaviano (2020) w swojej pracy dla </w:t>
      </w:r>
      <w:r w:rsidRPr="00AA4C55">
        <w:lastRenderedPageBreak/>
        <w:t>Europejskiego Banku Inwestycyjnego podkreśla, że inwestycje w infrastrukturę transportową nie tylko poprawiają dostępność, ale również stymulują aktywność gospodarczą poprzez integrację opóźnionych regionów z głównymi ośrodkami.</w:t>
      </w:r>
    </w:p>
    <w:p w14:paraId="246A5F6E" w14:textId="77777777" w:rsidR="00445F58" w:rsidRPr="00AA4C55" w:rsidRDefault="00445F58" w:rsidP="00445F58">
      <w:pPr>
        <w:pStyle w:val="NormalnyWeb"/>
        <w:spacing w:before="0" w:beforeAutospacing="0" w:after="160" w:afterAutospacing="0" w:line="256" w:lineRule="auto"/>
        <w:ind w:left="720"/>
        <w:jc w:val="both"/>
      </w:pPr>
      <w:r w:rsidRPr="00AA4C55">
        <w:rPr>
          <w:b/>
          <w:bCs/>
        </w:rPr>
        <w:t> </w:t>
      </w:r>
    </w:p>
    <w:p w14:paraId="1FDBBCC7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3. Inwestycje w infrastrukturę: Katalizator wzrostu</w:t>
      </w:r>
    </w:p>
    <w:p w14:paraId="4BE5F283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Inwestycje w infrastrukturę stanowią fundament rozwoju metropolitalnego, poprawiając łączność, produktywność i zrównoważenie (World Bank, 2009; Ottaviano, 2020). Formalizacja OMGGS mogłaby:</w:t>
      </w:r>
    </w:p>
    <w:p w14:paraId="4F956BB9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Wspierać multimodalne centra transportowe, zmniejszając korki i czas podróży. Sieć transportowa Tokio, zarządzana przez władze metropolitalne, stanowi doskonały przykład takiej integracji.</w:t>
      </w:r>
    </w:p>
    <w:p w14:paraId="325273C5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Umożliwić realizację projektów infrastruktury ekologicznej, takich jak systemy energii odnawialnej i energooszczędny transport publiczny. Planowanie urbanistyczne w Kopenhadze jest wzorcem dla zrównoważonego rozwoju (Hallegatte i in., 2017).</w:t>
      </w:r>
    </w:p>
    <w:p w14:paraId="2030250F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Rozwijać infrastrukturę cyfrową, taką jak szerokopasmowy internet i 5G, wspierając koncepcje smart cities i innowacje. Działania te są zgodne z priorytetami UE w zakresie transformacji cyfrowej (ESPON, 2021).</w:t>
      </w:r>
    </w:p>
    <w:p w14:paraId="720A77C7" w14:textId="77777777" w:rsidR="00445F58" w:rsidRPr="00AA4C55" w:rsidRDefault="00445F58" w:rsidP="00AA4C55">
      <w:pPr>
        <w:pStyle w:val="NormalnyWeb"/>
        <w:spacing w:before="0" w:beforeAutospacing="0" w:after="160" w:afterAutospacing="0" w:line="256" w:lineRule="auto"/>
        <w:ind w:left="720"/>
        <w:jc w:val="both"/>
      </w:pPr>
    </w:p>
    <w:p w14:paraId="16A20A80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4. Instytucje i zarządzanie – wzrost efektywności</w:t>
      </w:r>
    </w:p>
    <w:p w14:paraId="6179980E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Instytucje odgrywają kluczową rolę w rozwoju gospodarczym poprzez redukcję kosztów transakcyjnych, poprawę wdrażania polityk i wspieranie sprawiedliwości (Acemoglu i Robinson, 2012; Rodrik, 2004). Formalizacja OMGGS mogłaby:</w:t>
      </w:r>
    </w:p>
    <w:p w14:paraId="10CB3CD6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Tworzyć inkluzywne struktury zarządzania, które zapobiegają praktykom eksploatacyjnym i zapewniają sprawiedliwą alokację zasobów. Jest to szczególnie istotne w kontekście suburbanizacji i nierówności przestrzennych (Medeiros i Rauhut, 2020).</w:t>
      </w:r>
    </w:p>
    <w:p w14:paraId="5FE998DC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Zwiększać odporność na wstrząsy zewnętrzne poprzez instytucjonalizację mechanizmów adaptacyjnych. Zintegrowane zarządzanie Greater London Authority umożliwia skuteczne reagowanie na wyzwania gospodarcze i środowiskowe (Storper, 2013).</w:t>
      </w:r>
    </w:p>
    <w:p w14:paraId="1F9A15D4" w14:textId="77777777" w:rsidR="00445F58" w:rsidRPr="00AA4C55" w:rsidRDefault="00445F58" w:rsidP="00445F58">
      <w:pPr>
        <w:pStyle w:val="NormalnyWeb"/>
        <w:spacing w:before="0" w:beforeAutospacing="0" w:after="160" w:afterAutospacing="0" w:line="256" w:lineRule="auto"/>
        <w:ind w:left="720"/>
        <w:jc w:val="both"/>
      </w:pPr>
      <w:r w:rsidRPr="00AA4C55">
        <w:t> </w:t>
      </w:r>
    </w:p>
    <w:p w14:paraId="75441AB0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5. Sprawiedliwość społeczna i inkluzywność</w:t>
      </w:r>
    </w:p>
    <w:p w14:paraId="50C0C660" w14:textId="77777777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OMGGS </w:t>
      </w:r>
      <w:r>
        <w:rPr>
          <w:rFonts w:ascii="Times New Roman" w:hAnsi="Times New Roman" w:cs="Times New Roman"/>
          <w:sz w:val="24"/>
          <w:szCs w:val="24"/>
        </w:rPr>
        <w:t>pozwoliłaby lepiej adresować</w:t>
      </w:r>
      <w:r w:rsidR="00445F58" w:rsidRPr="00AA4C55">
        <w:rPr>
          <w:rFonts w:ascii="Times New Roman" w:hAnsi="Times New Roman" w:cs="Times New Roman"/>
          <w:sz w:val="24"/>
          <w:szCs w:val="24"/>
        </w:rPr>
        <w:t>aspekty społeczne, takie jak zmniejszanie nierówności, promocja dostępnego mieszkalnictwa oraz poprawa dostępu do usług publicznych (Harvey, 2008).</w:t>
      </w:r>
    </w:p>
    <w:p w14:paraId="0E87353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Formalizacja OMGGS powinna uwzględniać polityki włączające, które zapewnią równość dostępu do mieszkań, edukacji i usług publicznych dla grup marginalizowanych. Wprowadzenie programów mieszkalnictwa dostępnego oraz lokalnych centrów usług publicznych mogłoby zniwelować istniejące nierówności (Lefebvre, 1996).</w:t>
      </w:r>
    </w:p>
    <w:p w14:paraId="7410EE0B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48891A40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Zrównoważony rozwój środowiskowy</w:t>
      </w:r>
    </w:p>
    <w:p w14:paraId="4EC0E5A3" w14:textId="77777777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OMGGS mogłaby </w:t>
      </w:r>
      <w:r>
        <w:rPr>
          <w:rFonts w:ascii="Times New Roman" w:hAnsi="Times New Roman" w:cs="Times New Roman"/>
          <w:sz w:val="24"/>
          <w:szCs w:val="24"/>
        </w:rPr>
        <w:t xml:space="preserve">być katalizatorem </w:t>
      </w:r>
      <w:r w:rsidR="00445F58" w:rsidRPr="00AA4C55">
        <w:rPr>
          <w:rFonts w:ascii="Times New Roman" w:hAnsi="Times New Roman" w:cs="Times New Roman"/>
          <w:sz w:val="24"/>
          <w:szCs w:val="24"/>
        </w:rPr>
        <w:t>działań na rzecz energii odnawialnej, odporności na zmiany klimatu i planowania urbanistycznego (Satterthwaite, 2009).</w:t>
      </w:r>
    </w:p>
    <w:p w14:paraId="593676A1" w14:textId="5A25892F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Formalizacja OMGGS powinna obejmować priorytetowe traktowanie planów działań na rzecz klimatu, neutralności węglowej oraz strategii redukcji odpadów. Warto czerpać z doświadczeń miast, takich jak Kopenhaga, która jest liderem w zielonych technologiach i neutralności klimatycznej (Calthorpe, 2010). To jest istotne biorąc pod uwagę priorytety UE oraz rosnące znaczenie green</w:t>
      </w:r>
      <w:r w:rsidR="00482EBE">
        <w:rPr>
          <w:rFonts w:ascii="Times New Roman" w:hAnsi="Times New Roman" w:cs="Times New Roman"/>
          <w:sz w:val="24"/>
          <w:szCs w:val="24"/>
        </w:rPr>
        <w:t xml:space="preserve"> </w:t>
      </w:r>
      <w:r w:rsidRPr="00AA4C55">
        <w:rPr>
          <w:rFonts w:ascii="Times New Roman" w:hAnsi="Times New Roman" w:cs="Times New Roman"/>
          <w:sz w:val="24"/>
          <w:szCs w:val="24"/>
        </w:rPr>
        <w:t xml:space="preserve">financing w ofercie instytucji finansowych. </w:t>
      </w:r>
    </w:p>
    <w:p w14:paraId="1971E538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417349F2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7.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Dywersyfikacja gospodarcza</w:t>
      </w:r>
    </w:p>
    <w:p w14:paraId="7EE89004" w14:textId="6D0CB17B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OMGGS </w:t>
      </w:r>
      <w:r>
        <w:rPr>
          <w:rFonts w:ascii="Times New Roman" w:hAnsi="Times New Roman" w:cs="Times New Roman"/>
          <w:sz w:val="24"/>
          <w:szCs w:val="24"/>
        </w:rPr>
        <w:t>byłaby korzystna</w:t>
      </w:r>
      <w:r w:rsidR="00482EBE">
        <w:rPr>
          <w:rFonts w:ascii="Times New Roman" w:hAnsi="Times New Roman" w:cs="Times New Roman"/>
          <w:sz w:val="24"/>
          <w:szCs w:val="24"/>
        </w:rPr>
        <w:t xml:space="preserve"> 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dla startupów, MŚP i sektorów kreatywnych, </w:t>
      </w:r>
      <w:r>
        <w:rPr>
          <w:rFonts w:ascii="Times New Roman" w:hAnsi="Times New Roman" w:cs="Times New Roman"/>
          <w:sz w:val="24"/>
          <w:szCs w:val="24"/>
        </w:rPr>
        <w:t>a ich brak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 ogranicza innowacyjność regionu (Florida, 2002).</w:t>
      </w:r>
    </w:p>
    <w:p w14:paraId="3AE9F81E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OMGGS powinno wspierać powstawanie inkubatorów przedsiębiorczości, hubów innowacji oraz ekosystemów gospodarczych opartych na dywersyfikacji. Przykłady takich działań można zaczerpnąć z Barcelony, która rozwija sektor kreatywny i technologiczny (Porter, 1990).</w:t>
      </w:r>
    </w:p>
    <w:p w14:paraId="3CE06ABE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086BDEAF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8.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Zaangażowanie społeczności  - wzrost partycypacji</w:t>
      </w:r>
    </w:p>
    <w:p w14:paraId="2D4A8304" w14:textId="77777777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OMGGS </w:t>
      </w:r>
      <w:r>
        <w:rPr>
          <w:rFonts w:ascii="Times New Roman" w:hAnsi="Times New Roman" w:cs="Times New Roman"/>
          <w:sz w:val="24"/>
          <w:szCs w:val="24"/>
        </w:rPr>
        <w:t xml:space="preserve">byłaby katalizatorem dla </w:t>
      </w:r>
      <w:r w:rsidR="00445F58" w:rsidRPr="00AA4C55">
        <w:rPr>
          <w:rFonts w:ascii="Times New Roman" w:hAnsi="Times New Roman" w:cs="Times New Roman"/>
          <w:sz w:val="24"/>
          <w:szCs w:val="24"/>
        </w:rPr>
        <w:t>zaangażowania mieszkańców i społeczności lokalnych w procesy planowania i zarządzania (Fung, 2006). Formalizacja OMGGS powinna uwzględniać ramy partycypacyjne, które zaangażują obywateli w podejmowanie decyzji. Konsultacje społeczne i budżety partycypacyjne, jak w Greater London Authority, mogą znacząco poprawić legitymizację polityk (Arnstein, 1969).</w:t>
      </w:r>
    </w:p>
    <w:p w14:paraId="1E910713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3CC9167B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9. Autonomia fiskalna i budżetowa</w:t>
      </w:r>
    </w:p>
    <w:p w14:paraId="09703777" w14:textId="1B019A9F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ekonomi</w:t>
      </w:r>
      <w:r w:rsidR="00482E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wskazuje na pozytywne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 implikacj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 budżetow</w:t>
      </w:r>
      <w:r>
        <w:rPr>
          <w:rFonts w:ascii="Times New Roman" w:hAnsi="Times New Roman" w:cs="Times New Roman"/>
          <w:sz w:val="24"/>
          <w:szCs w:val="24"/>
        </w:rPr>
        <w:t>e z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 formalizacji OMGGS (Bahl et al., 2013). Autonomia fiskalna mogłaby zwiększyć efektywność zarządzania projektami na skalę metropolitalną i zmniejszyć zależność od rozproszonych budżetów lokalnych (Tiebout, 1956). Jednocześnie powinna pozwolić na redukcje kosztów (korzyści skali) poprzez koordynację zakupów </w:t>
      </w:r>
      <w:r w:rsidR="00E83A98">
        <w:rPr>
          <w:rFonts w:ascii="Times New Roman" w:hAnsi="Times New Roman" w:cs="Times New Roman"/>
          <w:sz w:val="24"/>
          <w:szCs w:val="24"/>
        </w:rPr>
        <w:t>i</w:t>
      </w:r>
      <w:r w:rsidR="00445F58" w:rsidRPr="00AA4C55">
        <w:rPr>
          <w:rFonts w:ascii="Times New Roman" w:hAnsi="Times New Roman" w:cs="Times New Roman"/>
          <w:sz w:val="24"/>
          <w:szCs w:val="24"/>
        </w:rPr>
        <w:t xml:space="preserve"> wykorzystanie korzyści skali (spadek kosztu jednostkowego) oraz wzrost siły przetargowej. </w:t>
      </w:r>
    </w:p>
    <w:p w14:paraId="310C8E59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49BDB610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10.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Innowacje w zakresie transportu i mobilności</w:t>
      </w:r>
    </w:p>
    <w:p w14:paraId="0DFE5377" w14:textId="77777777" w:rsidR="00445F58" w:rsidRPr="00AA4C55" w:rsidRDefault="001B6C4A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Formalizacja OMGGS </w:t>
      </w:r>
      <w:r>
        <w:rPr>
          <w:rFonts w:ascii="Times New Roman" w:hAnsi="Times New Roman" w:cs="Times New Roman"/>
          <w:sz w:val="24"/>
          <w:szCs w:val="24"/>
        </w:rPr>
        <w:t xml:space="preserve">byłaby katalizatorem </w:t>
      </w:r>
      <w:r w:rsidR="00445F58" w:rsidRPr="00AA4C55">
        <w:rPr>
          <w:rFonts w:ascii="Times New Roman" w:hAnsi="Times New Roman" w:cs="Times New Roman"/>
          <w:sz w:val="24"/>
          <w:szCs w:val="24"/>
        </w:rPr>
        <w:t>inteligentnych rozwiązań w zakresie mobilności, takich jak zintegrowany transport publiczny czy elektryczne pojazdy (Cervero, 1998).</w:t>
      </w:r>
    </w:p>
    <w:p w14:paraId="70D4B2ED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Formalizacja OMGGS powinna obejmować innowacyjne rozwiązania w zakresie mobilności, takie jak inteligentne zarządzanie ruchem (</w:t>
      </w:r>
      <w:r w:rsidRPr="007F3E0F">
        <w:rPr>
          <w:rFonts w:ascii="Times New Roman" w:hAnsi="Times New Roman" w:cs="Times New Roman"/>
          <w:i/>
          <w:sz w:val="24"/>
          <w:szCs w:val="24"/>
        </w:rPr>
        <w:t>smart traffic management</w:t>
      </w:r>
      <w:r w:rsidRPr="00AA4C55">
        <w:rPr>
          <w:rFonts w:ascii="Times New Roman" w:hAnsi="Times New Roman" w:cs="Times New Roman"/>
          <w:sz w:val="24"/>
          <w:szCs w:val="24"/>
        </w:rPr>
        <w:t xml:space="preserve">), zintegrowany transport publiczny czy infrastruktura dla pojazdów elektrycznych. Przykłady można czerpać z Tokio lub Kopenhagi, gdzie smart mobility jest priorytetem (Newman &amp;Kenworthy, 1999). </w:t>
      </w:r>
      <w:r w:rsidRPr="00AA4C55">
        <w:rPr>
          <w:rFonts w:ascii="Times New Roman" w:hAnsi="Times New Roman" w:cs="Times New Roman"/>
          <w:sz w:val="24"/>
          <w:szCs w:val="24"/>
        </w:rPr>
        <w:lastRenderedPageBreak/>
        <w:t>Dotychczasowe działania OMGSS w tym zakresie należy uznać za niewystarczające bądź mało skuteczne vide bilet metropolitalny, rower metropolitalny. Zdecydowanie kluczowe jest rozbudowa PKM w spójny sposób – PKM Południe, PKM w Gdyni oraz badanie jej wpływu na rozlew</w:t>
      </w:r>
      <w:r w:rsidR="00E83A98">
        <w:rPr>
          <w:rFonts w:ascii="Times New Roman" w:hAnsi="Times New Roman" w:cs="Times New Roman"/>
          <w:sz w:val="24"/>
          <w:szCs w:val="24"/>
        </w:rPr>
        <w:t>a</w:t>
      </w:r>
      <w:r w:rsidRPr="00AA4C55">
        <w:rPr>
          <w:rFonts w:ascii="Times New Roman" w:hAnsi="Times New Roman" w:cs="Times New Roman"/>
          <w:sz w:val="24"/>
          <w:szCs w:val="24"/>
        </w:rPr>
        <w:t>ni</w:t>
      </w:r>
      <w:r w:rsidR="00E83A98">
        <w:rPr>
          <w:rFonts w:ascii="Times New Roman" w:hAnsi="Times New Roman" w:cs="Times New Roman"/>
          <w:sz w:val="24"/>
          <w:szCs w:val="24"/>
        </w:rPr>
        <w:t xml:space="preserve">e </w:t>
      </w:r>
      <w:r w:rsidRPr="00AA4C55">
        <w:rPr>
          <w:rFonts w:ascii="Times New Roman" w:hAnsi="Times New Roman" w:cs="Times New Roman"/>
          <w:sz w:val="24"/>
          <w:szCs w:val="24"/>
        </w:rPr>
        <w:t xml:space="preserve">się metropolii tzn. </w:t>
      </w:r>
      <w:r w:rsidR="00E83A98">
        <w:rPr>
          <w:rFonts w:ascii="Times New Roman" w:hAnsi="Times New Roman" w:cs="Times New Roman"/>
          <w:sz w:val="24"/>
          <w:szCs w:val="24"/>
        </w:rPr>
        <w:t>u</w:t>
      </w:r>
      <w:r w:rsidRPr="00AA4C55">
        <w:rPr>
          <w:rFonts w:ascii="Times New Roman" w:hAnsi="Times New Roman" w:cs="Times New Roman"/>
          <w:sz w:val="24"/>
          <w:szCs w:val="24"/>
        </w:rPr>
        <w:t>kierunkowywanie rozwoju</w:t>
      </w:r>
      <w:r w:rsidR="00E83A98">
        <w:rPr>
          <w:rFonts w:ascii="Times New Roman" w:hAnsi="Times New Roman" w:cs="Times New Roman"/>
          <w:sz w:val="24"/>
          <w:szCs w:val="24"/>
        </w:rPr>
        <w:t>,</w:t>
      </w:r>
      <w:r w:rsidRPr="00AA4C55">
        <w:rPr>
          <w:rFonts w:ascii="Times New Roman" w:hAnsi="Times New Roman" w:cs="Times New Roman"/>
          <w:sz w:val="24"/>
          <w:szCs w:val="24"/>
        </w:rPr>
        <w:t xml:space="preserve"> a nie gonienie </w:t>
      </w:r>
      <w:r w:rsidR="00E83A98">
        <w:rPr>
          <w:rFonts w:ascii="Times New Roman" w:hAnsi="Times New Roman" w:cs="Times New Roman"/>
          <w:sz w:val="24"/>
          <w:szCs w:val="24"/>
        </w:rPr>
        <w:t xml:space="preserve">za </w:t>
      </w:r>
      <w:r w:rsidRPr="00AA4C55">
        <w:rPr>
          <w:rFonts w:ascii="Times New Roman" w:hAnsi="Times New Roman" w:cs="Times New Roman"/>
          <w:sz w:val="24"/>
          <w:szCs w:val="24"/>
        </w:rPr>
        <w:t>rozwoj</w:t>
      </w:r>
      <w:r w:rsidR="00E83A98">
        <w:rPr>
          <w:rFonts w:ascii="Times New Roman" w:hAnsi="Times New Roman" w:cs="Times New Roman"/>
          <w:sz w:val="24"/>
          <w:szCs w:val="24"/>
        </w:rPr>
        <w:t>em</w:t>
      </w:r>
      <w:r w:rsidRPr="00AA4C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11EDE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1969EC5D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11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. Zintegrowane metropolitalne  zarządzanie gospodarką odpadami:</w:t>
      </w:r>
    </w:p>
    <w:p w14:paraId="0F9D6ABA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Mogłoby obejmować</w:t>
      </w:r>
    </w:p>
    <w:p w14:paraId="25142B3A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Ujednolicenie zasad segregacji odpadów oraz systemu ich zbierania w całej metropolii</w:t>
      </w:r>
      <w:r w:rsidR="002D719D">
        <w:t>.</w:t>
      </w:r>
    </w:p>
    <w:p w14:paraId="11CB18C1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Rozwój infrastruktury recyklingowej oraz zaawansowanych instalacji do przetwarzania odpadów w sposób zintegrowany</w:t>
      </w:r>
      <w:r w:rsidR="002D719D">
        <w:t>.</w:t>
      </w:r>
    </w:p>
    <w:p w14:paraId="37815EEF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Minimalizację kosztów poprzez wspólne zamówienia publiczne na transport odpadów oraz kontrakty na odbiór i przetwarzanie.</w:t>
      </w:r>
    </w:p>
    <w:p w14:paraId="7923C0DA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Optymalizację lokalizacji PSZOKów</w:t>
      </w:r>
      <w:r w:rsidR="002D719D">
        <w:t>.</w:t>
      </w:r>
    </w:p>
    <w:p w14:paraId="6BAA56B7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Pełne wykorzystanie mocy ITPOK</w:t>
      </w:r>
      <w:r w:rsidR="002D719D">
        <w:t>.</w:t>
      </w:r>
    </w:p>
    <w:p w14:paraId="00CD9D80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Powstanie długofalowej metropolitalnej strategii zarządzania odpadami oraz recyklingu z perspektywą min. 2050</w:t>
      </w:r>
      <w:r w:rsidR="002D719D">
        <w:t>.</w:t>
      </w:r>
    </w:p>
    <w:p w14:paraId="6B1FE414" w14:textId="77777777" w:rsidR="00445F58" w:rsidRPr="00AA4C55" w:rsidRDefault="00445F58" w:rsidP="00AA4C55">
      <w:pPr>
        <w:pStyle w:val="NormalnyWeb"/>
        <w:spacing w:before="0" w:beforeAutospacing="0" w:after="160" w:afterAutospacing="0" w:line="256" w:lineRule="auto"/>
        <w:ind w:left="720" w:firstLine="60"/>
        <w:jc w:val="both"/>
      </w:pPr>
    </w:p>
    <w:p w14:paraId="417DD664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12. Wzmocniona promocja inwestycji i rozwój gospodarczy</w:t>
      </w:r>
    </w:p>
    <w:p w14:paraId="13969AC4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Metropolie mogą wspólnie promować obszar jako atrakcyjne miejsce dla inwestycji, co obejmuje:</w:t>
      </w:r>
    </w:p>
    <w:p w14:paraId="13BBFBEA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Tworzenie wspólnych stref ekonomicznych lub parków przemysłowych.</w:t>
      </w:r>
    </w:p>
    <w:p w14:paraId="2DBC0804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Organizację inicjatyw wspierających startupy oraz rozwój małych i średnich przedsiębiorstw (MŚP)</w:t>
      </w:r>
      <w:r w:rsidR="002D719D">
        <w:t>.</w:t>
      </w:r>
    </w:p>
    <w:p w14:paraId="218C4A49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Koordynację promocji regionu na arenie międzynarodowej</w:t>
      </w:r>
      <w:r w:rsidR="002D719D">
        <w:t>.</w:t>
      </w:r>
    </w:p>
    <w:p w14:paraId="1E0A9B47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160" w:afterAutospacing="0" w:line="256" w:lineRule="auto"/>
        <w:jc w:val="both"/>
      </w:pPr>
      <w:r w:rsidRPr="00AA4C55">
        <w:t>Przyciąganie dużych graczy (kluczowych inwestorów)</w:t>
      </w:r>
      <w:r w:rsidR="002D719D">
        <w:t>.</w:t>
      </w:r>
    </w:p>
    <w:p w14:paraId="17F3B49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 </w:t>
      </w:r>
    </w:p>
    <w:p w14:paraId="7B637E09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13. </w:t>
      </w:r>
      <w:r w:rsidRPr="00AA4C55">
        <w:rPr>
          <w:rFonts w:ascii="Times New Roman" w:hAnsi="Times New Roman" w:cs="Times New Roman"/>
          <w:b/>
          <w:bCs/>
          <w:sz w:val="24"/>
          <w:szCs w:val="24"/>
        </w:rPr>
        <w:t>Zarządzanie bezpieczeństwem w ramach metropolii</w:t>
      </w:r>
    </w:p>
    <w:p w14:paraId="32E70B2B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 xml:space="preserve">Zarządzanie bezpieczeństwem jest kluczowym obszarem, który mógłby być znacząco usprawniony w ramach formalizacji </w:t>
      </w:r>
      <w:r w:rsidR="001B6C4A">
        <w:rPr>
          <w:rFonts w:ascii="Times New Roman" w:hAnsi="Times New Roman" w:cs="Times New Roman"/>
          <w:sz w:val="24"/>
          <w:szCs w:val="24"/>
        </w:rPr>
        <w:t>OMGGS</w:t>
      </w:r>
      <w:r w:rsidRPr="00AA4C55">
        <w:rPr>
          <w:rFonts w:ascii="Times New Roman" w:hAnsi="Times New Roman" w:cs="Times New Roman"/>
          <w:sz w:val="24"/>
          <w:szCs w:val="24"/>
        </w:rPr>
        <w:t>. Skuteczna koordynacja działań w zakresie bezpieczeństwa publicznego, zarządzania kryzysowego i prewencji może przynieść wymierne korzyści w tak złożonym, policentrycznym regionie.</w:t>
      </w:r>
    </w:p>
    <w:p w14:paraId="64A439AD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Zarządzanie kryzysowe i ochrona ludności</w:t>
      </w:r>
    </w:p>
    <w:p w14:paraId="0B457F83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 xml:space="preserve">Formalizacja metropolii pozwoliłaby na skoordynowane zarządzanie </w:t>
      </w:r>
      <w:r w:rsidR="002D719D">
        <w:br/>
      </w:r>
      <w:r w:rsidRPr="00AA4C55">
        <w:t>w sytuacjach kryzysowych, takich jak powodzie, pożary, ataki cybernetyczne, czy pandemie.</w:t>
      </w:r>
    </w:p>
    <w:p w14:paraId="04397A05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Stworzenie zintegrowanego metropolitalnego systemu ostrzegania i reagowania kryzysowego (np. aplikacje mobilne ostrzegające mieszkańców przed zagrożeniami).</w:t>
      </w:r>
    </w:p>
    <w:p w14:paraId="2C0AB27D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lastRenderedPageBreak/>
        <w:t>Koordynacja działań służb ratunkowych (straży pożarnej, policji, pogotowia) na poziomie metropolitalnym, co przyspieszyłoby reakcję na zagrożenia.</w:t>
      </w:r>
    </w:p>
    <w:p w14:paraId="316E2061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160" w:afterAutospacing="0" w:line="256" w:lineRule="auto"/>
        <w:jc w:val="both"/>
      </w:pPr>
      <w:r w:rsidRPr="00AA4C55">
        <w:t>Koordynacja budowy infrastruktury bezpieczeństwa – schrony, miejsca schronienia</w:t>
      </w:r>
      <w:r w:rsidR="00E83A98">
        <w:t>.</w:t>
      </w:r>
    </w:p>
    <w:p w14:paraId="68DD0134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Bezpieczeństwo publiczne i porządek</w:t>
      </w:r>
    </w:p>
    <w:p w14:paraId="01840B2D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Formalizacja OMGGS umożliwiłaby zintegrowane podejście do kwestii porządku publicznego i działań prewencyjnych:</w:t>
      </w:r>
    </w:p>
    <w:p w14:paraId="41AD6450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Lepsza koordynacja policji metropolitalnej, obejmująca współpracę w zakresie patrolowania, dochodzeń oraz działań prewencyjny</w:t>
      </w:r>
      <w:r w:rsidR="00E83A98">
        <w:t xml:space="preserve">ch na obszarze całej metropolii, </w:t>
      </w:r>
      <w:r w:rsidRPr="00AA4C55">
        <w:t>jak i koordynację działań straży miejskiej</w:t>
      </w:r>
      <w:r w:rsidR="002D719D">
        <w:t>.</w:t>
      </w:r>
    </w:p>
    <w:p w14:paraId="33EE15ED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0" w:afterAutospacing="0" w:line="256" w:lineRule="auto"/>
        <w:jc w:val="both"/>
      </w:pPr>
      <w:r w:rsidRPr="00AA4C55">
        <w:t>Ujednolicenie systemów monitoringu miejskiego oraz wprowadzenie inteligentnych technologii monitorujących obszary wysokiego ryzyka w oparciu o nadzór wspomagany AI</w:t>
      </w:r>
      <w:r w:rsidR="002D719D">
        <w:t>.</w:t>
      </w:r>
    </w:p>
    <w:p w14:paraId="4FCBE144" w14:textId="77777777" w:rsidR="00445F58" w:rsidRPr="00AA4C55" w:rsidRDefault="00445F58" w:rsidP="00AA4C55">
      <w:pPr>
        <w:pStyle w:val="NormalnyWeb"/>
        <w:numPr>
          <w:ilvl w:val="0"/>
          <w:numId w:val="11"/>
        </w:numPr>
        <w:spacing w:before="0" w:beforeAutospacing="0" w:after="160" w:afterAutospacing="0" w:line="256" w:lineRule="auto"/>
        <w:jc w:val="both"/>
      </w:pPr>
      <w:r w:rsidRPr="00AA4C55">
        <w:t>Stworzenie wspólnego programu prewencji przestępczości, np. poprzez działania edukacyjne w szkołach i kampanie społeczne dotyczące bezpieczeństwa</w:t>
      </w:r>
      <w:r w:rsidR="002D719D">
        <w:t>.</w:t>
      </w:r>
    </w:p>
    <w:p w14:paraId="5B8DC212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Cyberbezpieczeństwo</w:t>
      </w:r>
    </w:p>
    <w:p w14:paraId="685B1A9B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Współczesne metropolie są szczególnie narażone na zagrożenia w cyberprzestrzeni, takie jak ataki hakerskie na infrastrukturę krytyczną (np. wodociągi, sieci energetyczne, transport publiczny). Formalizacja metropolii mogłaby obejmować:</w:t>
      </w:r>
    </w:p>
    <w:p w14:paraId="0A18A5FF" w14:textId="77777777" w:rsidR="00445F58" w:rsidRPr="00AA4C55" w:rsidRDefault="00445F58" w:rsidP="00AA4C55">
      <w:pPr>
        <w:pStyle w:val="NormalnyWeb"/>
        <w:numPr>
          <w:ilvl w:val="0"/>
          <w:numId w:val="19"/>
        </w:numPr>
        <w:spacing w:before="0" w:beforeAutospacing="0" w:after="0" w:afterAutospacing="0" w:line="256" w:lineRule="auto"/>
        <w:jc w:val="both"/>
      </w:pPr>
      <w:r w:rsidRPr="00AA4C55">
        <w:t>Utworzenie centralnego centrum cyberbezpieczeństwa odpowiedzialnego za monitorowanie i reagowanie na cyberataki na infrastrukturę publiczną i prywatną.</w:t>
      </w:r>
    </w:p>
    <w:p w14:paraId="6EA4DA83" w14:textId="77777777" w:rsidR="00445F58" w:rsidRPr="00AA4C55" w:rsidRDefault="00445F58" w:rsidP="00AA4C55">
      <w:pPr>
        <w:pStyle w:val="NormalnyWeb"/>
        <w:numPr>
          <w:ilvl w:val="0"/>
          <w:numId w:val="19"/>
        </w:numPr>
        <w:spacing w:before="0" w:beforeAutospacing="0" w:after="0" w:afterAutospacing="0" w:line="256" w:lineRule="auto"/>
        <w:jc w:val="both"/>
      </w:pPr>
      <w:r w:rsidRPr="00AA4C55">
        <w:t>Wprowadzenie standardów bezpieczeństwa dla systemów IT używanych przez instytucje publiczne i operatorów infrastruktury krytycznej.</w:t>
      </w:r>
    </w:p>
    <w:p w14:paraId="455FBA3E" w14:textId="77777777" w:rsidR="00445F58" w:rsidRPr="00AA4C55" w:rsidRDefault="00445F58" w:rsidP="00AA4C55">
      <w:pPr>
        <w:pStyle w:val="NormalnyWeb"/>
        <w:numPr>
          <w:ilvl w:val="0"/>
          <w:numId w:val="19"/>
        </w:numPr>
        <w:spacing w:before="0" w:beforeAutospacing="0" w:after="160" w:afterAutospacing="0" w:line="256" w:lineRule="auto"/>
        <w:jc w:val="both"/>
      </w:pPr>
      <w:r w:rsidRPr="00AA4C55">
        <w:t>Edukację mieszkańców - Prowadzenie wspólnych szkoleń oraz symulacji dla służb ratunkowych i mieszkańców w celu zwiększenia gotowości na sytuacje kryzysowe.</w:t>
      </w:r>
    </w:p>
    <w:p w14:paraId="0478B0AC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Ochrona infrastruktury krytycznej</w:t>
      </w:r>
    </w:p>
    <w:p w14:paraId="251E694A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W metropoliach infrastruktura krytyczna, taka jak tran</w:t>
      </w:r>
      <w:r w:rsidR="00E83A98">
        <w:rPr>
          <w:rFonts w:ascii="Times New Roman" w:hAnsi="Times New Roman" w:cs="Times New Roman"/>
          <w:sz w:val="24"/>
          <w:szCs w:val="24"/>
        </w:rPr>
        <w:t>sport, energetyka czy wodociągi</w:t>
      </w:r>
      <w:r w:rsidRPr="00AA4C55">
        <w:rPr>
          <w:rFonts w:ascii="Times New Roman" w:hAnsi="Times New Roman" w:cs="Times New Roman"/>
          <w:sz w:val="24"/>
          <w:szCs w:val="24"/>
        </w:rPr>
        <w:t xml:space="preserve"> wymaga szczególnej ochrony. Skonsolidowane zarządzanie mogłoby obejmować:</w:t>
      </w:r>
    </w:p>
    <w:p w14:paraId="1AB9F535" w14:textId="77777777" w:rsidR="00445F58" w:rsidRPr="00AA4C55" w:rsidRDefault="00445F58" w:rsidP="00445F58">
      <w:pPr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Mapowanie infrastruktury krytycznej w całej metropolii i identyfikację potencjalnych zagrożeń (np. ataki, katastrofy naturalne).</w:t>
      </w:r>
    </w:p>
    <w:p w14:paraId="6B00A401" w14:textId="77777777" w:rsidR="00445F58" w:rsidRPr="00AA4C55" w:rsidRDefault="00445F58" w:rsidP="00445F58">
      <w:pPr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Prowadzenie wspólnych audytów bezpieczeństwa oraz wdrażanie działań ochronnych, takich jak fizyczne zabezpieczenia obiektów.</w:t>
      </w:r>
    </w:p>
    <w:p w14:paraId="12A0AB95" w14:textId="77777777" w:rsidR="00445F58" w:rsidRPr="00AA4C55" w:rsidRDefault="00445F58" w:rsidP="00445F58">
      <w:pPr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Rozwój systemów odporności na katastrofy, np. zapory przeciwpowodziowe czy rezerwowe źródła energii</w:t>
      </w:r>
      <w:r w:rsidR="00F4439A">
        <w:rPr>
          <w:rFonts w:ascii="Times New Roman" w:hAnsi="Times New Roman" w:cs="Times New Roman"/>
          <w:sz w:val="24"/>
          <w:szCs w:val="24"/>
        </w:rPr>
        <w:t>, co ma istotne znaczenie w kontekście zmian klimatu.</w:t>
      </w:r>
    </w:p>
    <w:p w14:paraId="38E3384A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Bezpieczeństwo w transporcie publicznym</w:t>
      </w:r>
    </w:p>
    <w:p w14:paraId="7FF33B75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Metropolitalne zarządzanie transportem publicznym mogłoby obejmować:</w:t>
      </w:r>
    </w:p>
    <w:p w14:paraId="313CE9C5" w14:textId="77777777" w:rsidR="00445F58" w:rsidRPr="00AA4C55" w:rsidRDefault="00445F58" w:rsidP="00445F58">
      <w:pPr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Zwiększenie liczby patroli bezpieczeństwa w środkach transportu publicznego i na dworcach.</w:t>
      </w:r>
    </w:p>
    <w:p w14:paraId="08E1048F" w14:textId="77777777" w:rsidR="00445F58" w:rsidRPr="00AA4C55" w:rsidRDefault="00445F58" w:rsidP="00445F58">
      <w:pPr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lastRenderedPageBreak/>
        <w:t>Wdrożenie systemów monitorowania i raportowania incydentów w czasie rzeczywistym, np. przez aplikacje mobilne dla pasażerów.</w:t>
      </w:r>
    </w:p>
    <w:p w14:paraId="3B789B32" w14:textId="77777777" w:rsidR="00445F58" w:rsidRPr="00AA4C55" w:rsidRDefault="00445F58" w:rsidP="00445F58">
      <w:pPr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Szkolenia dla pracowników transportu w zakresie reagowania na sytuacje kryzysowe, takie jak ataki czy zagrożenia zdrowotne.</w:t>
      </w:r>
    </w:p>
    <w:p w14:paraId="1CE69E50" w14:textId="77777777" w:rsidR="00445F58" w:rsidRPr="00AA4C55" w:rsidRDefault="00445F58" w:rsidP="00445F5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Edukacja i prewencja w zakresie bezpieczeństwa</w:t>
      </w:r>
    </w:p>
    <w:p w14:paraId="56543209" w14:textId="77777777" w:rsidR="00445F58" w:rsidRPr="00AA4C55" w:rsidRDefault="00445F58" w:rsidP="00445F5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Formalizacja OMGGS mogłaby wspierać działania edukacyjne wśród mieszkańców:</w:t>
      </w:r>
    </w:p>
    <w:p w14:paraId="77106E57" w14:textId="77777777" w:rsidR="00445F58" w:rsidRPr="00AA4C55" w:rsidRDefault="00445F58" w:rsidP="00445F58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Organizowanie warsztatów i kampanii społecznych na temat bezpieczeństwa w domu, w pracy i w przestrzeni publicznej.</w:t>
      </w:r>
    </w:p>
    <w:p w14:paraId="4C65EF19" w14:textId="77777777" w:rsidR="00445F58" w:rsidRPr="00AA4C55" w:rsidRDefault="00445F58" w:rsidP="00445F58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Szkolenia z zakresu pierwszej pomocy i postępowania w sytuacjach kryzysowych dla mieszkańców metropolii.</w:t>
      </w:r>
    </w:p>
    <w:p w14:paraId="7D9276B5" w14:textId="77777777" w:rsidR="00445F58" w:rsidRPr="00AA4C55" w:rsidRDefault="00445F58" w:rsidP="00445F58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Rozwój programów edukacyjnych dla dzieci i młodzieży dotyczących bezpieczeństwa cyfrowego, przemocy i przeciwdziałania przestępczości</w:t>
      </w:r>
      <w:r w:rsidR="002D719D">
        <w:rPr>
          <w:rFonts w:ascii="Times New Roman" w:hAnsi="Times New Roman" w:cs="Times New Roman"/>
          <w:sz w:val="24"/>
          <w:szCs w:val="24"/>
        </w:rPr>
        <w:t>.</w:t>
      </w:r>
    </w:p>
    <w:p w14:paraId="76E0FBC8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b/>
          <w:bCs/>
          <w:sz w:val="24"/>
          <w:szCs w:val="24"/>
        </w:rPr>
        <w:t>14. Case studies</w:t>
      </w:r>
    </w:p>
    <w:p w14:paraId="30281594" w14:textId="77777777" w:rsidR="00445F58" w:rsidRPr="00AA4C55" w:rsidRDefault="00445F58" w:rsidP="00445F58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5">
        <w:rPr>
          <w:rFonts w:ascii="Times New Roman" w:hAnsi="Times New Roman" w:cs="Times New Roman"/>
          <w:sz w:val="24"/>
          <w:szCs w:val="24"/>
        </w:rPr>
        <w:t>Doświadczenia z sukcesem metropolitalnym podkreślają znaczenie formalnego zarządzania:</w:t>
      </w:r>
    </w:p>
    <w:p w14:paraId="0CD0943A" w14:textId="77777777" w:rsidR="00445F58" w:rsidRPr="00AA4C55" w:rsidRDefault="00445F58" w:rsidP="00AA4C55">
      <w:pPr>
        <w:pStyle w:val="NormalnyWeb"/>
        <w:numPr>
          <w:ilvl w:val="0"/>
          <w:numId w:val="8"/>
        </w:numPr>
        <w:spacing w:before="0" w:beforeAutospacing="0" w:after="0" w:afterAutospacing="0" w:line="256" w:lineRule="auto"/>
        <w:jc w:val="both"/>
      </w:pPr>
      <w:r w:rsidRPr="00AA4C55">
        <w:t>Barcelona: Zarządzanie metropolitalne wspiera innowacyjne ośrodki, rozwijając klastry technologiczne i redukując fragmentację urbanistyczną (Rodríguez-Pose, 2018). Rozwój strategii kreatywności i innowacji wspierający sektor technologiczny i kulturalny, a także wdrażanie inteligentnych rozwiązań w planowaniu miejskim.</w:t>
      </w:r>
    </w:p>
    <w:p w14:paraId="38D33728" w14:textId="77777777" w:rsidR="00445F58" w:rsidRPr="00AA4C55" w:rsidRDefault="00445F58" w:rsidP="00AA4C55">
      <w:pPr>
        <w:pStyle w:val="NormalnyWeb"/>
        <w:numPr>
          <w:ilvl w:val="0"/>
          <w:numId w:val="8"/>
        </w:numPr>
        <w:spacing w:before="0" w:beforeAutospacing="0" w:after="0" w:afterAutospacing="0" w:line="256" w:lineRule="auto"/>
        <w:jc w:val="both"/>
      </w:pPr>
      <w:r w:rsidRPr="00AA4C55">
        <w:t>Randstad (Holandia): Policentryczne zarządzanie integruje planowanie regionalne, równoważąc wzrost gospodarczy ze zrównoważeniem (McCann, 2013). Wspólne inwestycje w infrastrukturę kolejową oraz zrównoważoną gospodarkę wodną</w:t>
      </w:r>
      <w:r w:rsidR="002D719D">
        <w:t>,</w:t>
      </w:r>
      <w:r w:rsidRPr="00AA4C55">
        <w:t xml:space="preserve"> w tym infrastrukturę przeciwpowodziową.</w:t>
      </w:r>
    </w:p>
    <w:p w14:paraId="19F7DB51" w14:textId="77777777" w:rsidR="00445F58" w:rsidRPr="00AA4C55" w:rsidRDefault="00445F58" w:rsidP="00AA4C55">
      <w:pPr>
        <w:pStyle w:val="NormalnyWeb"/>
        <w:numPr>
          <w:ilvl w:val="0"/>
          <w:numId w:val="8"/>
        </w:numPr>
        <w:spacing w:before="0" w:beforeAutospacing="0" w:after="0" w:afterAutospacing="0" w:line="256" w:lineRule="auto"/>
        <w:jc w:val="both"/>
      </w:pPr>
      <w:r w:rsidRPr="00AA4C55">
        <w:t>Tokio: Jednolite zarządzanie umożliwia realizację dużych inwestycji infrastrukturalnych, w tym planowania odpornego na katastrofy, rozwój multimodalnego transportu z naciskiem na smart mobility  (Hallegatte i in., 2017).</w:t>
      </w:r>
    </w:p>
    <w:p w14:paraId="54A56779" w14:textId="77777777" w:rsidR="00445F58" w:rsidRPr="00AA4C55" w:rsidRDefault="00445F58" w:rsidP="00AA4C55">
      <w:pPr>
        <w:pStyle w:val="NormalnyWeb"/>
        <w:numPr>
          <w:ilvl w:val="0"/>
          <w:numId w:val="8"/>
        </w:numPr>
        <w:spacing w:before="0" w:beforeAutospacing="0" w:after="0" w:afterAutospacing="0" w:line="256" w:lineRule="auto"/>
        <w:jc w:val="both"/>
      </w:pPr>
      <w:r w:rsidRPr="00AA4C55">
        <w:t>Stuttgart (Niemcy): Silna współpraca między sektorem publicznym a prywatnym wspiera dynamiczne systemy innowacji i konkurencyjność regionalną (Boschma, 2005).</w:t>
      </w:r>
    </w:p>
    <w:p w14:paraId="687F7DDF" w14:textId="77777777" w:rsidR="00445F58" w:rsidRPr="00AA4C55" w:rsidRDefault="00445F58" w:rsidP="00AA4C55">
      <w:pPr>
        <w:pStyle w:val="NormalnyWeb"/>
        <w:numPr>
          <w:ilvl w:val="0"/>
          <w:numId w:val="8"/>
        </w:numPr>
        <w:spacing w:before="0" w:beforeAutospacing="0" w:after="160" w:afterAutospacing="0" w:line="256" w:lineRule="auto"/>
        <w:jc w:val="both"/>
      </w:pPr>
      <w:r w:rsidRPr="00AA4C55">
        <w:t>Kopenhaga (Dania): Integracja transportu publicznego z polityką zielonej mobilności oraz osiąganie neutralności klimatycznej poprzez inwestycje w odnawialne źródła energii. Kopenhaga regularnie prowadzi kampanie społeczne dotyczące bezpieczeństwa mieszkańców, z naciskiem na edukację dzieci i młodzieży</w:t>
      </w:r>
      <w:r w:rsidR="00E83A98">
        <w:t>.</w:t>
      </w:r>
    </w:p>
    <w:p w14:paraId="7E0CC9F2" w14:textId="77777777" w:rsidR="00445F58" w:rsidRPr="002D719D" w:rsidRDefault="00DB3777" w:rsidP="00445F58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77">
        <w:rPr>
          <w:rFonts w:ascii="Times New Roman" w:hAnsi="Times New Roman" w:cs="Times New Roman"/>
          <w:b/>
          <w:sz w:val="24"/>
          <w:szCs w:val="24"/>
        </w:rPr>
        <w:t> Formalizacja metropolii, takiej jak OMGGS, może znacznie zwiększyć efektywność zarządzania obszarem poprzez eliminację fragmentacji polityk, wspólne inwestycje i większą koordynację działań oraz wyeliminowanie kosztów nadmiernej rywalizacji, dublowania nakładów czy wykorzystania korzyści skali</w:t>
      </w:r>
      <w:r w:rsidR="00E83A98">
        <w:rPr>
          <w:rFonts w:ascii="Times New Roman" w:hAnsi="Times New Roman" w:cs="Times New Roman"/>
          <w:b/>
          <w:sz w:val="24"/>
          <w:szCs w:val="24"/>
        </w:rPr>
        <w:t>,</w:t>
      </w:r>
      <w:r w:rsidRPr="00DB3777">
        <w:rPr>
          <w:rFonts w:ascii="Times New Roman" w:hAnsi="Times New Roman" w:cs="Times New Roman"/>
          <w:b/>
          <w:sz w:val="24"/>
          <w:szCs w:val="24"/>
        </w:rPr>
        <w:t xml:space="preserve"> a więc zakupów po niższych kosztach. </w:t>
      </w:r>
    </w:p>
    <w:p w14:paraId="4BAC455F" w14:textId="77777777" w:rsidR="00445F58" w:rsidRPr="00445F58" w:rsidRDefault="00445F58" w:rsidP="001B6C4A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t>  </w:t>
      </w:r>
    </w:p>
    <w:sectPr w:rsidR="00445F58" w:rsidRPr="00445F58" w:rsidSect="00ED1C6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67B9" w14:textId="77777777" w:rsidR="00043156" w:rsidRDefault="00043156" w:rsidP="00C76458">
      <w:pPr>
        <w:spacing w:after="0" w:line="240" w:lineRule="auto"/>
      </w:pPr>
      <w:r>
        <w:separator/>
      </w:r>
    </w:p>
  </w:endnote>
  <w:endnote w:type="continuationSeparator" w:id="0">
    <w:p w14:paraId="58DD88EE" w14:textId="77777777" w:rsidR="00043156" w:rsidRDefault="00043156" w:rsidP="00C7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401251"/>
      <w:docPartObj>
        <w:docPartGallery w:val="Page Numbers (Bottom of Page)"/>
        <w:docPartUnique/>
      </w:docPartObj>
    </w:sdtPr>
    <w:sdtEndPr/>
    <w:sdtContent>
      <w:p w14:paraId="7327293C" w14:textId="77777777" w:rsidR="00051260" w:rsidRDefault="00051260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4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65CF98" w14:textId="77777777" w:rsidR="00051260" w:rsidRDefault="00051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D8F4" w14:textId="77777777" w:rsidR="00043156" w:rsidRDefault="00043156" w:rsidP="00C76458">
      <w:pPr>
        <w:spacing w:after="0" w:line="240" w:lineRule="auto"/>
      </w:pPr>
      <w:r>
        <w:separator/>
      </w:r>
    </w:p>
  </w:footnote>
  <w:footnote w:type="continuationSeparator" w:id="0">
    <w:p w14:paraId="19A4AB3A" w14:textId="77777777" w:rsidR="00043156" w:rsidRDefault="00043156" w:rsidP="00C76458">
      <w:pPr>
        <w:spacing w:after="0" w:line="240" w:lineRule="auto"/>
      </w:pPr>
      <w:r>
        <w:continuationSeparator/>
      </w:r>
    </w:p>
  </w:footnote>
  <w:footnote w:id="1">
    <w:p w14:paraId="744D8615" w14:textId="77777777" w:rsidR="00051260" w:rsidRDefault="00051260">
      <w:pPr>
        <w:pStyle w:val="Tekstprzypisudolnego"/>
      </w:pPr>
      <w:r>
        <w:rPr>
          <w:rStyle w:val="Odwoanieprzypisudolnego"/>
        </w:rPr>
        <w:footnoteRef/>
      </w:r>
      <w:r>
        <w:t xml:space="preserve"> W niniejszej ekspertyzie pominięto korzyści wynikające z prowadzenia na poziomie metropolitalnym polityki mobilności, gdyż jest to przedmiotem osobnej ekspertyzy.</w:t>
      </w:r>
    </w:p>
  </w:footnote>
  <w:footnote w:id="2">
    <w:p w14:paraId="5D1DBD20" w14:textId="77777777" w:rsidR="00051260" w:rsidRDefault="00051260">
      <w:pPr>
        <w:pStyle w:val="Tekstprzypisudolnego"/>
      </w:pPr>
      <w:r>
        <w:rPr>
          <w:rStyle w:val="Odwoanieprzypisudolnego"/>
        </w:rPr>
        <w:footnoteRef/>
      </w:r>
      <w:r>
        <w:t xml:space="preserve"> Pozyskiwanie korzyści przy świadomym unikaniu partycypacji w kosztach ich tworzenia.</w:t>
      </w:r>
    </w:p>
  </w:footnote>
  <w:footnote w:id="3">
    <w:p w14:paraId="58ED6B3C" w14:textId="77777777" w:rsidR="00051260" w:rsidRDefault="00051260">
      <w:pPr>
        <w:pStyle w:val="Tekstprzypisudolnego"/>
      </w:pPr>
      <w:r>
        <w:rPr>
          <w:rStyle w:val="Odwoanieprzypisudolnego"/>
        </w:rPr>
        <w:footnoteRef/>
      </w:r>
      <w:r>
        <w:t xml:space="preserve"> Koszty współpracy i interakcji.</w:t>
      </w:r>
    </w:p>
  </w:footnote>
  <w:footnote w:id="4">
    <w:p w14:paraId="2737CB3E" w14:textId="77777777" w:rsidR="00051260" w:rsidRDefault="00051260">
      <w:pPr>
        <w:pStyle w:val="Tekstprzypisudolnego"/>
      </w:pPr>
      <w:r>
        <w:rPr>
          <w:rStyle w:val="Odwoanieprzypisudolnego"/>
        </w:rPr>
        <w:footnoteRef/>
      </w:r>
      <w:r>
        <w:t xml:space="preserve"> Obecna forma funkcjonowania OMGGS przed jego formalizacją na gruncie polskiego prawa</w:t>
      </w:r>
    </w:p>
  </w:footnote>
  <w:footnote w:id="5">
    <w:p w14:paraId="227CD953" w14:textId="77777777" w:rsidR="00051260" w:rsidRDefault="00051260">
      <w:pPr>
        <w:pStyle w:val="Tekstprzypisudolnego"/>
      </w:pPr>
      <w:r>
        <w:rPr>
          <w:rStyle w:val="Odwoanieprzypisudolnego"/>
        </w:rPr>
        <w:footnoteRef/>
      </w:r>
      <w:r>
        <w:t xml:space="preserve"> Autor. dr hab. Tomasz Brodzicki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8C08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27AB8"/>
    <w:multiLevelType w:val="hybridMultilevel"/>
    <w:tmpl w:val="CFDA8EA2"/>
    <w:lvl w:ilvl="0" w:tplc="526EB77E">
      <w:numFmt w:val="bullet"/>
      <w:lvlText w:val="·"/>
      <w:lvlJc w:val="left"/>
      <w:pPr>
        <w:ind w:left="1320" w:hanging="60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86246"/>
    <w:multiLevelType w:val="multilevel"/>
    <w:tmpl w:val="E78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E18CF"/>
    <w:multiLevelType w:val="hybridMultilevel"/>
    <w:tmpl w:val="D332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11D2"/>
    <w:multiLevelType w:val="hybridMultilevel"/>
    <w:tmpl w:val="91F01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322A6"/>
    <w:multiLevelType w:val="hybridMultilevel"/>
    <w:tmpl w:val="EB5CE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134F7"/>
    <w:multiLevelType w:val="hybridMultilevel"/>
    <w:tmpl w:val="4A062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D13F5"/>
    <w:multiLevelType w:val="hybridMultilevel"/>
    <w:tmpl w:val="2D685BE6"/>
    <w:lvl w:ilvl="0" w:tplc="6E341F10">
      <w:numFmt w:val="bullet"/>
      <w:lvlText w:val="·"/>
      <w:lvlJc w:val="left"/>
      <w:pPr>
        <w:ind w:left="1365" w:hanging="6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3E4971"/>
    <w:multiLevelType w:val="hybridMultilevel"/>
    <w:tmpl w:val="756E8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F7C14"/>
    <w:multiLevelType w:val="hybridMultilevel"/>
    <w:tmpl w:val="BA2CE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1312"/>
    <w:multiLevelType w:val="hybridMultilevel"/>
    <w:tmpl w:val="980A4AF2"/>
    <w:lvl w:ilvl="0" w:tplc="04150001">
      <w:start w:val="1"/>
      <w:numFmt w:val="bullet"/>
      <w:lvlText w:val=""/>
      <w:lvlJc w:val="left"/>
      <w:pPr>
        <w:ind w:left="1365" w:hanging="64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E293A"/>
    <w:multiLevelType w:val="hybridMultilevel"/>
    <w:tmpl w:val="A35A4904"/>
    <w:lvl w:ilvl="0" w:tplc="04150001">
      <w:start w:val="1"/>
      <w:numFmt w:val="bullet"/>
      <w:lvlText w:val=""/>
      <w:lvlJc w:val="left"/>
      <w:pPr>
        <w:ind w:left="1320" w:hanging="6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F54359"/>
    <w:multiLevelType w:val="multilevel"/>
    <w:tmpl w:val="E82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3916F3"/>
    <w:multiLevelType w:val="multilevel"/>
    <w:tmpl w:val="565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D92621"/>
    <w:multiLevelType w:val="multilevel"/>
    <w:tmpl w:val="EEB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A0C3E"/>
    <w:multiLevelType w:val="hybridMultilevel"/>
    <w:tmpl w:val="D054E5AA"/>
    <w:lvl w:ilvl="0" w:tplc="AB7415E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0068B"/>
    <w:multiLevelType w:val="hybridMultilevel"/>
    <w:tmpl w:val="661CC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705AE"/>
    <w:multiLevelType w:val="hybridMultilevel"/>
    <w:tmpl w:val="284EA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1138C"/>
    <w:multiLevelType w:val="hybridMultilevel"/>
    <w:tmpl w:val="251AA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5F56F2"/>
    <w:multiLevelType w:val="hybridMultilevel"/>
    <w:tmpl w:val="713C7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54194C"/>
    <w:multiLevelType w:val="hybridMultilevel"/>
    <w:tmpl w:val="D324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56D6"/>
    <w:multiLevelType w:val="hybridMultilevel"/>
    <w:tmpl w:val="6BBEE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7BC5"/>
    <w:multiLevelType w:val="hybridMultilevel"/>
    <w:tmpl w:val="30C0A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51D11"/>
    <w:multiLevelType w:val="multilevel"/>
    <w:tmpl w:val="929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C7FD5"/>
    <w:multiLevelType w:val="hybridMultilevel"/>
    <w:tmpl w:val="AAD40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EC5CF0"/>
    <w:multiLevelType w:val="multilevel"/>
    <w:tmpl w:val="7554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396EF9"/>
    <w:multiLevelType w:val="hybridMultilevel"/>
    <w:tmpl w:val="2BE6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9"/>
  </w:num>
  <w:num w:numId="5">
    <w:abstractNumId w:val="0"/>
  </w:num>
  <w:num w:numId="6">
    <w:abstractNumId w:val="25"/>
  </w:num>
  <w:num w:numId="7">
    <w:abstractNumId w:val="14"/>
  </w:num>
  <w:num w:numId="8">
    <w:abstractNumId w:val="13"/>
  </w:num>
  <w:num w:numId="9">
    <w:abstractNumId w:val="24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2"/>
  </w:num>
  <w:num w:numId="17">
    <w:abstractNumId w:val="23"/>
  </w:num>
  <w:num w:numId="18">
    <w:abstractNumId w:val="5"/>
  </w:num>
  <w:num w:numId="19">
    <w:abstractNumId w:val="26"/>
  </w:num>
  <w:num w:numId="20">
    <w:abstractNumId w:val="17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DA"/>
    <w:rsid w:val="000018CB"/>
    <w:rsid w:val="00011911"/>
    <w:rsid w:val="00024F7C"/>
    <w:rsid w:val="000253B3"/>
    <w:rsid w:val="00032427"/>
    <w:rsid w:val="00034B20"/>
    <w:rsid w:val="00043156"/>
    <w:rsid w:val="00051260"/>
    <w:rsid w:val="00061C7B"/>
    <w:rsid w:val="000641A4"/>
    <w:rsid w:val="00084AF6"/>
    <w:rsid w:val="000A0856"/>
    <w:rsid w:val="000B4C21"/>
    <w:rsid w:val="000C3EC6"/>
    <w:rsid w:val="000C4354"/>
    <w:rsid w:val="000C6FFF"/>
    <w:rsid w:val="000E7B4E"/>
    <w:rsid w:val="000E7E35"/>
    <w:rsid w:val="001204BE"/>
    <w:rsid w:val="0013767F"/>
    <w:rsid w:val="00145324"/>
    <w:rsid w:val="00182ED3"/>
    <w:rsid w:val="001A5D1A"/>
    <w:rsid w:val="001B6C4A"/>
    <w:rsid w:val="001D0EBD"/>
    <w:rsid w:val="001D3392"/>
    <w:rsid w:val="001E18CE"/>
    <w:rsid w:val="001F747C"/>
    <w:rsid w:val="0020188B"/>
    <w:rsid w:val="002206EC"/>
    <w:rsid w:val="002224E2"/>
    <w:rsid w:val="00247359"/>
    <w:rsid w:val="0025781A"/>
    <w:rsid w:val="00257A03"/>
    <w:rsid w:val="002620D1"/>
    <w:rsid w:val="0028150F"/>
    <w:rsid w:val="002819CB"/>
    <w:rsid w:val="002D719D"/>
    <w:rsid w:val="002E5711"/>
    <w:rsid w:val="00364DDE"/>
    <w:rsid w:val="0038316D"/>
    <w:rsid w:val="00383F74"/>
    <w:rsid w:val="0039688A"/>
    <w:rsid w:val="003A1E2C"/>
    <w:rsid w:val="003C714C"/>
    <w:rsid w:val="003D08DF"/>
    <w:rsid w:val="003E448D"/>
    <w:rsid w:val="003F56A6"/>
    <w:rsid w:val="00401FFA"/>
    <w:rsid w:val="00415685"/>
    <w:rsid w:val="00445F58"/>
    <w:rsid w:val="0046621F"/>
    <w:rsid w:val="00482E99"/>
    <w:rsid w:val="00482EBE"/>
    <w:rsid w:val="004905EB"/>
    <w:rsid w:val="00495BEE"/>
    <w:rsid w:val="004A73B3"/>
    <w:rsid w:val="004F1D3F"/>
    <w:rsid w:val="004F748A"/>
    <w:rsid w:val="005327B4"/>
    <w:rsid w:val="00553E59"/>
    <w:rsid w:val="00572CB2"/>
    <w:rsid w:val="00596CB2"/>
    <w:rsid w:val="005D3EF4"/>
    <w:rsid w:val="005E3848"/>
    <w:rsid w:val="005E4EAD"/>
    <w:rsid w:val="005E72C4"/>
    <w:rsid w:val="005E7B87"/>
    <w:rsid w:val="005F0CC5"/>
    <w:rsid w:val="006677CE"/>
    <w:rsid w:val="006858A4"/>
    <w:rsid w:val="00711A90"/>
    <w:rsid w:val="00733DDF"/>
    <w:rsid w:val="00737414"/>
    <w:rsid w:val="00751E65"/>
    <w:rsid w:val="007520E3"/>
    <w:rsid w:val="00756E67"/>
    <w:rsid w:val="00762A6A"/>
    <w:rsid w:val="007704FA"/>
    <w:rsid w:val="00777CDA"/>
    <w:rsid w:val="00790E62"/>
    <w:rsid w:val="0079362E"/>
    <w:rsid w:val="007B6608"/>
    <w:rsid w:val="007B7389"/>
    <w:rsid w:val="007C08BD"/>
    <w:rsid w:val="007F354A"/>
    <w:rsid w:val="007F3E0F"/>
    <w:rsid w:val="007F5D77"/>
    <w:rsid w:val="00820777"/>
    <w:rsid w:val="008301B0"/>
    <w:rsid w:val="00845F06"/>
    <w:rsid w:val="00864FB2"/>
    <w:rsid w:val="00884480"/>
    <w:rsid w:val="00891A90"/>
    <w:rsid w:val="00895E05"/>
    <w:rsid w:val="008B1579"/>
    <w:rsid w:val="008D2AA4"/>
    <w:rsid w:val="008E1ED8"/>
    <w:rsid w:val="008E51D9"/>
    <w:rsid w:val="009067AD"/>
    <w:rsid w:val="00907BFB"/>
    <w:rsid w:val="009246F9"/>
    <w:rsid w:val="009265CC"/>
    <w:rsid w:val="00945DC8"/>
    <w:rsid w:val="00952D2D"/>
    <w:rsid w:val="00962E23"/>
    <w:rsid w:val="00965270"/>
    <w:rsid w:val="00973530"/>
    <w:rsid w:val="00977E5E"/>
    <w:rsid w:val="00986B58"/>
    <w:rsid w:val="0098726B"/>
    <w:rsid w:val="009C7D65"/>
    <w:rsid w:val="009D47A8"/>
    <w:rsid w:val="009F10BB"/>
    <w:rsid w:val="009F2873"/>
    <w:rsid w:val="00A264A4"/>
    <w:rsid w:val="00A67515"/>
    <w:rsid w:val="00AA0491"/>
    <w:rsid w:val="00AA4C55"/>
    <w:rsid w:val="00AB48B4"/>
    <w:rsid w:val="00AD3E9D"/>
    <w:rsid w:val="00AE4639"/>
    <w:rsid w:val="00AF096B"/>
    <w:rsid w:val="00AF5061"/>
    <w:rsid w:val="00B22BFA"/>
    <w:rsid w:val="00B8324D"/>
    <w:rsid w:val="00B914C9"/>
    <w:rsid w:val="00B949DD"/>
    <w:rsid w:val="00BA143B"/>
    <w:rsid w:val="00BA5785"/>
    <w:rsid w:val="00BA77F6"/>
    <w:rsid w:val="00C119E2"/>
    <w:rsid w:val="00C20E5C"/>
    <w:rsid w:val="00C338D4"/>
    <w:rsid w:val="00C76458"/>
    <w:rsid w:val="00C81C02"/>
    <w:rsid w:val="00C8551D"/>
    <w:rsid w:val="00C94AC1"/>
    <w:rsid w:val="00CA3D59"/>
    <w:rsid w:val="00CE452B"/>
    <w:rsid w:val="00CE7DB4"/>
    <w:rsid w:val="00D06C39"/>
    <w:rsid w:val="00D815F3"/>
    <w:rsid w:val="00D86852"/>
    <w:rsid w:val="00D86FCB"/>
    <w:rsid w:val="00D91860"/>
    <w:rsid w:val="00D945FE"/>
    <w:rsid w:val="00DB3777"/>
    <w:rsid w:val="00E024A0"/>
    <w:rsid w:val="00E40FDE"/>
    <w:rsid w:val="00E60462"/>
    <w:rsid w:val="00E706A3"/>
    <w:rsid w:val="00E83A98"/>
    <w:rsid w:val="00E83B8A"/>
    <w:rsid w:val="00E8767A"/>
    <w:rsid w:val="00EB5D59"/>
    <w:rsid w:val="00ED06DE"/>
    <w:rsid w:val="00ED1C68"/>
    <w:rsid w:val="00EE10BE"/>
    <w:rsid w:val="00EE74E8"/>
    <w:rsid w:val="00F038A5"/>
    <w:rsid w:val="00F16B63"/>
    <w:rsid w:val="00F33695"/>
    <w:rsid w:val="00F43669"/>
    <w:rsid w:val="00F4439A"/>
    <w:rsid w:val="00F575F4"/>
    <w:rsid w:val="00F82EB5"/>
    <w:rsid w:val="00FB082D"/>
    <w:rsid w:val="00FB1D9C"/>
    <w:rsid w:val="00FB6DD0"/>
    <w:rsid w:val="00FC08B1"/>
    <w:rsid w:val="00FE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5940"/>
  <w15:docId w15:val="{D4224B51-A1E2-49F7-8184-CBCC8C3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68"/>
  </w:style>
  <w:style w:type="paragraph" w:styleId="Nagwek1">
    <w:name w:val="heading 1"/>
    <w:basedOn w:val="Normalny"/>
    <w:link w:val="Nagwek1Znak"/>
    <w:uiPriority w:val="9"/>
    <w:qFormat/>
    <w:rsid w:val="00FC0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8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itemhow-many">
    <w:name w:val="item__how-many"/>
    <w:basedOn w:val="Domylnaczcionkaakapitu"/>
    <w:rsid w:val="00FC08B1"/>
  </w:style>
  <w:style w:type="paragraph" w:customStyle="1" w:styleId="col-xs-2">
    <w:name w:val="col-xs-2"/>
    <w:basedOn w:val="Normalny"/>
    <w:rsid w:val="00FC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10">
    <w:name w:val="col-xs-10"/>
    <w:basedOn w:val="Normalny"/>
    <w:rsid w:val="00FC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08B1"/>
    <w:rPr>
      <w:color w:val="0000FF"/>
      <w:u w:val="single"/>
    </w:rPr>
  </w:style>
  <w:style w:type="character" w:customStyle="1" w:styleId="rynqvb">
    <w:name w:val="rynqvb"/>
    <w:basedOn w:val="Domylnaczcionkaakapitu"/>
    <w:rsid w:val="00FB6DD0"/>
  </w:style>
  <w:style w:type="paragraph" w:styleId="Akapitzlist">
    <w:name w:val="List Paragraph"/>
    <w:basedOn w:val="Normalny"/>
    <w:qFormat/>
    <w:rsid w:val="00FB6D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45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8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9CB"/>
  </w:style>
  <w:style w:type="paragraph" w:styleId="Stopka">
    <w:name w:val="footer"/>
    <w:basedOn w:val="Normalny"/>
    <w:link w:val="StopkaZnak"/>
    <w:uiPriority w:val="99"/>
    <w:unhideWhenUsed/>
    <w:rsid w:val="0028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9CB"/>
  </w:style>
  <w:style w:type="character" w:styleId="Uwydatnienie">
    <w:name w:val="Emphasis"/>
    <w:basedOn w:val="Domylnaczcionkaakapitu"/>
    <w:uiPriority w:val="20"/>
    <w:qFormat/>
    <w:rsid w:val="00AF5061"/>
    <w:rPr>
      <w:i/>
      <w:iCs/>
    </w:rPr>
  </w:style>
  <w:style w:type="character" w:styleId="Pogrubienie">
    <w:name w:val="Strong"/>
    <w:basedOn w:val="Domylnaczcionkaakapitu"/>
    <w:uiPriority w:val="22"/>
    <w:qFormat/>
    <w:rsid w:val="00737414"/>
    <w:rPr>
      <w:b/>
      <w:bCs/>
    </w:rPr>
  </w:style>
  <w:style w:type="table" w:styleId="Tabela-Siatka">
    <w:name w:val="Table Grid"/>
    <w:basedOn w:val="Standardowy"/>
    <w:uiPriority w:val="59"/>
    <w:rsid w:val="00415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8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8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E05"/>
    <w:rPr>
      <w:vertAlign w:val="superscript"/>
    </w:rPr>
  </w:style>
  <w:style w:type="character" w:customStyle="1" w:styleId="lrzxr">
    <w:name w:val="lrzxr"/>
    <w:basedOn w:val="Domylnaczcionkaakapitu"/>
    <w:rsid w:val="00C20E5C"/>
  </w:style>
  <w:style w:type="paragraph" w:styleId="Listapunktowana">
    <w:name w:val="List Bullet"/>
    <w:basedOn w:val="Normalny"/>
    <w:uiPriority w:val="99"/>
    <w:unhideWhenUsed/>
    <w:rsid w:val="00C20E5C"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467-9787.2011.00756.x" TargetMode="External"/><Relationship Id="rId13" Type="http://schemas.openxmlformats.org/officeDocument/2006/relationships/hyperlink" Target="https://doi.org/10.1016/S0014-2921(98)00061-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6/26176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ilink.org/20.500.12592/9kbtl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coilink.org/20.500.12592/9kbtl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034340052000320887" TargetMode="External"/><Relationship Id="rId14" Type="http://schemas.openxmlformats.org/officeDocument/2006/relationships/hyperlink" Target="https://doi.org/10.1093/cjres/rsx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D1F5-19C1-4312-A488-67790ED2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8436</Words>
  <Characters>50616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Zaucha</dc:creator>
  <cp:lastModifiedBy>JBW</cp:lastModifiedBy>
  <cp:revision>2</cp:revision>
  <cp:lastPrinted>2025-01-17T07:37:00Z</cp:lastPrinted>
  <dcterms:created xsi:type="dcterms:W3CDTF">2025-01-17T10:21:00Z</dcterms:created>
  <dcterms:modified xsi:type="dcterms:W3CDTF">2025-01-17T10:21:00Z</dcterms:modified>
</cp:coreProperties>
</file>